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2058" w14:textId="77777777" w:rsidR="008615C0" w:rsidRDefault="008615C0" w:rsidP="008615C0">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Platinum chemotherapy associated thrombo-embolic events in Head and Neck Cancer </w:t>
      </w:r>
      <w:proofErr w:type="gramStart"/>
      <w:r>
        <w:rPr>
          <w:rFonts w:ascii="Arial" w:hAnsi="Arial" w:cs="Arial"/>
          <w:color w:val="007CBE"/>
          <w:spacing w:val="-15"/>
          <w:sz w:val="50"/>
          <w:szCs w:val="50"/>
        </w:rPr>
        <w:t>patients</w:t>
      </w:r>
      <w:proofErr w:type="gramEnd"/>
    </w:p>
    <w:p w14:paraId="58FED900"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3D7A85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To evaluate the incidence of thrombo-embolic events in head &amp; neck cancer patients treated with platinum - based </w:t>
      </w:r>
      <w:proofErr w:type="gramStart"/>
      <w:r>
        <w:rPr>
          <w:rFonts w:ascii="Arial" w:hAnsi="Arial" w:cs="Arial"/>
          <w:color w:val="343434"/>
          <w:sz w:val="23"/>
          <w:szCs w:val="23"/>
        </w:rPr>
        <w:t>chemotherapy</w:t>
      </w:r>
      <w:proofErr w:type="gramEnd"/>
    </w:p>
    <w:p w14:paraId="43612B07"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Objectives:</w:t>
      </w:r>
    </w:p>
    <w:p w14:paraId="01BC923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To quantify the incidence of TEE (venous and arterial) in all patients receiving </w:t>
      </w:r>
      <w:proofErr w:type="gramStart"/>
      <w:r>
        <w:rPr>
          <w:rFonts w:ascii="Arial" w:hAnsi="Arial" w:cs="Arial"/>
          <w:color w:val="343434"/>
          <w:sz w:val="23"/>
          <w:szCs w:val="23"/>
        </w:rPr>
        <w:t>platinum based</w:t>
      </w:r>
      <w:proofErr w:type="gramEnd"/>
      <w:r>
        <w:rPr>
          <w:rFonts w:ascii="Arial" w:hAnsi="Arial" w:cs="Arial"/>
          <w:color w:val="343434"/>
          <w:sz w:val="23"/>
          <w:szCs w:val="23"/>
        </w:rPr>
        <w:t xml:space="preserve"> chemotherapy for head and neck cancer</w:t>
      </w:r>
    </w:p>
    <w:p w14:paraId="3A415C2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quantify risks and collect data on recognised risk factors within this population</w:t>
      </w:r>
    </w:p>
    <w:p w14:paraId="78795C1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To quantify the use of LMWH </w:t>
      </w:r>
      <w:proofErr w:type="spellStart"/>
      <w:proofErr w:type="gramStart"/>
      <w:r>
        <w:rPr>
          <w:rFonts w:ascii="Arial" w:hAnsi="Arial" w:cs="Arial"/>
          <w:color w:val="343434"/>
          <w:sz w:val="23"/>
          <w:szCs w:val="23"/>
        </w:rPr>
        <w:t>prophylaxis,if</w:t>
      </w:r>
      <w:proofErr w:type="spellEnd"/>
      <w:proofErr w:type="gramEnd"/>
      <w:r>
        <w:rPr>
          <w:rFonts w:ascii="Arial" w:hAnsi="Arial" w:cs="Arial"/>
          <w:color w:val="343434"/>
          <w:sz w:val="23"/>
          <w:szCs w:val="23"/>
        </w:rPr>
        <w:t xml:space="preserve"> this impacts on the incidence of events</w:t>
      </w:r>
    </w:p>
    <w:p w14:paraId="62D01030"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309F640"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Increased incidence of thrombo-embolic events in cancer and chemotherapy patients is well recognised. Head and neck cancer patients are thought to be in a lower risk group for TEE development and they are a less well-studied patient group than other cancer populations. There was clinical concern amongst the SCAN population after a series of patient’s experienced thrombo-embolic events in a relatively short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w:t>
      </w:r>
      <w:proofErr w:type="gramStart"/>
      <w:r>
        <w:rPr>
          <w:rFonts w:ascii="Arial" w:hAnsi="Arial" w:cs="Arial"/>
          <w:color w:val="343434"/>
          <w:sz w:val="23"/>
          <w:szCs w:val="23"/>
        </w:rPr>
        <w:t>Local incidence of TEE and anti-coagulation prophylaxis rates,</w:t>
      </w:r>
      <w:proofErr w:type="gramEnd"/>
      <w:r>
        <w:rPr>
          <w:rFonts w:ascii="Arial" w:hAnsi="Arial" w:cs="Arial"/>
          <w:color w:val="343434"/>
          <w:sz w:val="23"/>
          <w:szCs w:val="23"/>
        </w:rPr>
        <w:t xml:space="preserve"> had not been previously quantified in H&amp;N cancer patients in the SCAN population. Recent trials reported overall incidence of TEE in Cisplatin treated cancer population of 18% (13% in H&amp;N patients) [1]. Should we be anticoagulating some/any of these patients and how do we identify those at high risk?</w:t>
      </w:r>
    </w:p>
    <w:p w14:paraId="1038D5E9" w14:textId="77777777" w:rsidR="008615C0" w:rsidRDefault="008615C0" w:rsidP="008615C0">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F730B42"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B83C4FC"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Khorana score is a validated predictive model which quantifies the risk of venous thrombo-embolism in cancer patients receiving chemotherapy and has been adopted in previous studies of TEE incidence in patients treated with Cisplatin-based chemotherapy [1-2].</w:t>
      </w:r>
    </w:p>
    <w:p w14:paraId="7928C17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ASCO (2007) and ESMO (2011) guidance:</w:t>
      </w:r>
    </w:p>
    <w:p w14:paraId="2B94300E"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Prophylactic anticoagulation recommended for ‘hospitalised cancer patients’</w:t>
      </w:r>
    </w:p>
    <w:p w14:paraId="6F0459EE"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Prophylactic anticoagulation NOT recommended for ambulant patients on outpatient anticancer treatment unless considered ‘high risk’ such as with use of Lenalidomide or Thalidomide</w:t>
      </w:r>
    </w:p>
    <w:p w14:paraId="14FAFF4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LMWH is preferred anticoagulant to Vitamin K antagonists but little guidance on what to give and when to administer</w:t>
      </w:r>
    </w:p>
    <w:p w14:paraId="7C208F39"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82379A4"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audit was carried out to provide baseline data to facilitate discussion around primary prophylaxis with anticoagulation in this group and predictors of TEE, to provide evidence for target setting in future policy/audits.</w:t>
      </w:r>
    </w:p>
    <w:p w14:paraId="53FE4CD6" w14:textId="77777777" w:rsidR="008615C0" w:rsidRDefault="008615C0" w:rsidP="008615C0">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DD699CA"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CD6B16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TEE incidence (H&amp;N cancer patients)</w:t>
      </w:r>
    </w:p>
    <w:p w14:paraId="235F854C"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LMWH prophylaxis rates (H&amp;N cancer patients)</w:t>
      </w:r>
    </w:p>
    <w:p w14:paraId="22896AC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Overall Survival</w:t>
      </w:r>
    </w:p>
    <w:p w14:paraId="0CD2610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TEE Specific Survival</w:t>
      </w:r>
    </w:p>
    <w:p w14:paraId="7DE06835"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Anti-coagulation-related outcomes (complications)</w:t>
      </w:r>
    </w:p>
    <w:p w14:paraId="250ABB55"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7C16BF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Age</w:t>
      </w:r>
    </w:p>
    <w:p w14:paraId="4256E20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Sex</w:t>
      </w:r>
    </w:p>
    <w:p w14:paraId="1A2917F5"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Ethnicity</w:t>
      </w:r>
    </w:p>
    <w:p w14:paraId="3588D27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Cancer site</w:t>
      </w:r>
    </w:p>
    <w:p w14:paraId="5CFE1AF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Histopathological stage</w:t>
      </w:r>
    </w:p>
    <w:p w14:paraId="1B5DF88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p16 status</w:t>
      </w:r>
    </w:p>
    <w:p w14:paraId="7F146214"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TNM Stage</w:t>
      </w:r>
    </w:p>
    <w:p w14:paraId="4C038FF4"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Treatment Data:</w:t>
      </w:r>
    </w:p>
    <w:p w14:paraId="3FB652B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Chemotherapy regime/intent</w:t>
      </w:r>
    </w:p>
    <w:p w14:paraId="508F1BFA"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Total cycles</w:t>
      </w:r>
    </w:p>
    <w:p w14:paraId="1D31313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Cycle date (per cycle)</w:t>
      </w:r>
    </w:p>
    <w:p w14:paraId="033909C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Drugs administered (per cycle)</w:t>
      </w:r>
    </w:p>
    <w:p w14:paraId="3E39F7F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LMWH prophylaxis administered?</w:t>
      </w:r>
    </w:p>
    <w:p w14:paraId="50EB315A"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Risk Factors:</w:t>
      </w:r>
    </w:p>
    <w:p w14:paraId="69D11A04"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Smoker?</w:t>
      </w:r>
    </w:p>
    <w:p w14:paraId="15E000DE"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Past VTE?</w:t>
      </w:r>
    </w:p>
    <w:p w14:paraId="4D8E105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Ischaemic Heart Disease?</w:t>
      </w:r>
    </w:p>
    <w:p w14:paraId="5E152B8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Past Cerebrovascular Disease?</w:t>
      </w:r>
    </w:p>
    <w:p w14:paraId="6D3398AE"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Hypertension?</w:t>
      </w:r>
    </w:p>
    <w:p w14:paraId="6F7545B7"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Diabetes?</w:t>
      </w:r>
    </w:p>
    <w:p w14:paraId="01007D1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Post-operative?</w:t>
      </w:r>
    </w:p>
    <w:p w14:paraId="0ACB755C"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Central line?</w:t>
      </w:r>
    </w:p>
    <w:p w14:paraId="3A61FF0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PICC?</w:t>
      </w:r>
    </w:p>
    <w:p w14:paraId="5C815BC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IV filter?</w:t>
      </w:r>
    </w:p>
    <w:p w14:paraId="69AB250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Khorana Variables:</w:t>
      </w:r>
    </w:p>
    <w:p w14:paraId="65B7824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Platelets &gt;350x109</w:t>
      </w:r>
    </w:p>
    <w:p w14:paraId="4C0E0C1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Leucocytes &gt;11x109</w:t>
      </w:r>
    </w:p>
    <w:p w14:paraId="51F221C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Hb &lt;10g/dL</w:t>
      </w:r>
    </w:p>
    <w:p w14:paraId="51067FD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BMI (kg/m2)</w:t>
      </w:r>
    </w:p>
    <w:p w14:paraId="01637649"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ESA use?</w:t>
      </w:r>
    </w:p>
    <w:p w14:paraId="5FBD88D0"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Thrombo-embolic events:</w:t>
      </w:r>
    </w:p>
    <w:p w14:paraId="0536798C"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TEE?</w:t>
      </w:r>
    </w:p>
    <w:p w14:paraId="15E1909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TEE type</w:t>
      </w:r>
    </w:p>
    <w:p w14:paraId="09754C40"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positive radiology diagnosis</w:t>
      </w:r>
    </w:p>
    <w:p w14:paraId="73FAE0BB"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Days since last chemotherapy cycle</w:t>
      </w:r>
    </w:p>
    <w:p w14:paraId="7A8C4996"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Symptomatic?</w:t>
      </w:r>
    </w:p>
    <w:p w14:paraId="72EFEFC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plan delayed/altered?</w:t>
      </w:r>
    </w:p>
    <w:p w14:paraId="79CFBCD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Anticoagulation used?</w:t>
      </w:r>
    </w:p>
    <w:p w14:paraId="318BE8C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Anticoagulant complication?</w:t>
      </w:r>
    </w:p>
    <w:p w14:paraId="5F6D28ED"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complication</w:t>
      </w:r>
    </w:p>
    <w:p w14:paraId="79C7ECC0"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Details of complication</w:t>
      </w:r>
    </w:p>
    <w:p w14:paraId="05D28E18"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Mortality</w:t>
      </w:r>
    </w:p>
    <w:p w14:paraId="79A1EA6F"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death</w:t>
      </w:r>
    </w:p>
    <w:p w14:paraId="53AB9B9C"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97D901A"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w:t>
      </w:r>
    </w:p>
    <w:p w14:paraId="610E2CE1"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7DCA241"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Review of anticoagulant policy.</w:t>
      </w:r>
    </w:p>
    <w:p w14:paraId="664994BE"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FDC240D"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patient notes electronic / paper</w:t>
      </w:r>
    </w:p>
    <w:p w14:paraId="2B5FD732"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Set up Excel spreadsheet for collection and analysis of data</w:t>
      </w:r>
    </w:p>
    <w:p w14:paraId="16CF7627"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FF4799B" w14:textId="77777777" w:rsidR="008615C0" w:rsidRDefault="008615C0" w:rsidP="008615C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Moore RA, Adel N, Riedel E, et al: High incidence of thromboembolic events in patients treated with cisplatin-based chemotherapy: A large retrospective analysis. J Clin Oncol </w:t>
      </w:r>
      <w:proofErr w:type="gramStart"/>
      <w:r>
        <w:rPr>
          <w:rFonts w:ascii="Arial" w:hAnsi="Arial" w:cs="Arial"/>
          <w:color w:val="343434"/>
          <w:sz w:val="23"/>
          <w:szCs w:val="23"/>
        </w:rPr>
        <w:t>2011;29:3466</w:t>
      </w:r>
      <w:proofErr w:type="gramEnd"/>
      <w:r>
        <w:rPr>
          <w:rFonts w:ascii="Arial" w:hAnsi="Arial" w:cs="Arial"/>
          <w:color w:val="343434"/>
          <w:sz w:val="23"/>
          <w:szCs w:val="23"/>
        </w:rPr>
        <w:t>-3473</w:t>
      </w:r>
    </w:p>
    <w:p w14:paraId="50E9F511" w14:textId="77777777" w:rsidR="008615C0" w:rsidRDefault="008615C0" w:rsidP="008615C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Khorana AA et al: Development and validation of a predictive model for chemotherapy-associated thrombosis Blood </w:t>
      </w:r>
      <w:proofErr w:type="gramStart"/>
      <w:r>
        <w:rPr>
          <w:rFonts w:ascii="Arial" w:hAnsi="Arial" w:cs="Arial"/>
          <w:color w:val="343434"/>
          <w:sz w:val="23"/>
          <w:szCs w:val="23"/>
        </w:rPr>
        <w:t>2008;111:4902</w:t>
      </w:r>
      <w:proofErr w:type="gramEnd"/>
      <w:r>
        <w:rPr>
          <w:rFonts w:ascii="Arial" w:hAnsi="Arial" w:cs="Arial"/>
          <w:color w:val="343434"/>
          <w:sz w:val="23"/>
          <w:szCs w:val="23"/>
        </w:rPr>
        <w:t>-4907.</w:t>
      </w:r>
    </w:p>
    <w:p w14:paraId="3A6B6B23"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45F9EF03" w14:textId="77777777" w:rsidR="008615C0" w:rsidRDefault="008615C0" w:rsidP="008615C0">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is more easily performed prospectively but can be achieved retrospectively.</w:t>
      </w:r>
    </w:p>
    <w:p w14:paraId="20532301" w14:textId="77777777" w:rsidR="008615C0" w:rsidRDefault="008615C0" w:rsidP="008615C0">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07299D5" w14:textId="77777777" w:rsidR="008615C0" w:rsidRDefault="008615C0" w:rsidP="008615C0">
      <w:pPr>
        <w:shd w:val="clear" w:color="auto" w:fill="FFFFFF"/>
        <w:rPr>
          <w:rFonts w:ascii="Arial" w:hAnsi="Arial" w:cs="Arial"/>
          <w:color w:val="343434"/>
          <w:sz w:val="23"/>
          <w:szCs w:val="23"/>
        </w:rPr>
      </w:pPr>
      <w:r>
        <w:rPr>
          <w:rFonts w:ascii="Arial" w:hAnsi="Arial" w:cs="Arial"/>
          <w:color w:val="343434"/>
          <w:sz w:val="23"/>
          <w:szCs w:val="23"/>
        </w:rPr>
        <w:t xml:space="preserve">Elizabeth Junor on behalf of Joanna </w:t>
      </w:r>
      <w:proofErr w:type="spellStart"/>
      <w:r>
        <w:rPr>
          <w:rFonts w:ascii="Arial" w:hAnsi="Arial" w:cs="Arial"/>
          <w:color w:val="343434"/>
          <w:sz w:val="23"/>
          <w:szCs w:val="23"/>
        </w:rPr>
        <w:t>MacKenzie</w:t>
      </w:r>
      <w:proofErr w:type="spellEnd"/>
    </w:p>
    <w:p w14:paraId="37844A42"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921A38F" w14:textId="77777777" w:rsidR="008615C0" w:rsidRDefault="008615C0" w:rsidP="008615C0">
      <w:pPr>
        <w:shd w:val="clear" w:color="auto" w:fill="FFFFFF"/>
        <w:rPr>
          <w:rFonts w:ascii="Arial" w:hAnsi="Arial" w:cs="Arial"/>
          <w:color w:val="343434"/>
          <w:sz w:val="23"/>
          <w:szCs w:val="23"/>
        </w:rPr>
      </w:pPr>
      <w:r>
        <w:rPr>
          <w:rStyle w:val="date-display-single"/>
          <w:rFonts w:ascii="Arial" w:hAnsi="Arial" w:cs="Arial"/>
          <w:color w:val="343434"/>
          <w:sz w:val="23"/>
          <w:szCs w:val="23"/>
        </w:rPr>
        <w:t>Tuesday 9 April 2013</w:t>
      </w:r>
    </w:p>
    <w:p w14:paraId="4A8CA022" w14:textId="77777777" w:rsidR="008615C0" w:rsidRDefault="008615C0" w:rsidP="008615C0">
      <w:pPr>
        <w:rPr>
          <w:rFonts w:ascii="Times New Roman" w:hAnsi="Times New Roman" w:cs="Times New Roman"/>
          <w:sz w:val="24"/>
          <w:szCs w:val="24"/>
        </w:rPr>
      </w:pPr>
    </w:p>
    <w:p w14:paraId="0FE80382" w14:textId="77777777" w:rsidR="008615C0" w:rsidRDefault="008615C0" w:rsidP="008615C0">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52DB4CD2" w14:textId="77777777" w:rsidR="008615C0" w:rsidRDefault="008615C0" w:rsidP="008615C0">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26 April 2018</w:t>
      </w:r>
    </w:p>
    <w:p w14:paraId="7C0A2111" w14:textId="45834BC7" w:rsidR="000D3E1E" w:rsidRDefault="000D3E1E" w:rsidP="008615C0">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C26"/>
    <w:multiLevelType w:val="multilevel"/>
    <w:tmpl w:val="7884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996491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86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1514">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261252826">
      <w:bodyDiv w:val="1"/>
      <w:marLeft w:val="0"/>
      <w:marRight w:val="0"/>
      <w:marTop w:val="0"/>
      <w:marBottom w:val="0"/>
      <w:divBdr>
        <w:top w:val="none" w:sz="0" w:space="0" w:color="auto"/>
        <w:left w:val="none" w:sz="0" w:space="0" w:color="auto"/>
        <w:bottom w:val="none" w:sz="0" w:space="0" w:color="auto"/>
        <w:right w:val="none" w:sz="0" w:space="0" w:color="auto"/>
      </w:divBdr>
      <w:divsChild>
        <w:div w:id="1953592961">
          <w:marLeft w:val="0"/>
          <w:marRight w:val="0"/>
          <w:marTop w:val="0"/>
          <w:marBottom w:val="480"/>
          <w:divBdr>
            <w:top w:val="none" w:sz="0" w:space="0" w:color="auto"/>
            <w:left w:val="none" w:sz="0" w:space="0" w:color="auto"/>
            <w:bottom w:val="none" w:sz="0" w:space="0" w:color="auto"/>
            <w:right w:val="none" w:sz="0" w:space="0" w:color="auto"/>
          </w:divBdr>
          <w:divsChild>
            <w:div w:id="587924914">
              <w:marLeft w:val="0"/>
              <w:marRight w:val="0"/>
              <w:marTop w:val="0"/>
              <w:marBottom w:val="0"/>
              <w:divBdr>
                <w:top w:val="none" w:sz="0" w:space="0" w:color="auto"/>
                <w:left w:val="none" w:sz="0" w:space="0" w:color="auto"/>
                <w:bottom w:val="none" w:sz="0" w:space="0" w:color="auto"/>
                <w:right w:val="none" w:sz="0" w:space="0" w:color="auto"/>
              </w:divBdr>
            </w:div>
            <w:div w:id="1719281059">
              <w:marLeft w:val="0"/>
              <w:marRight w:val="0"/>
              <w:marTop w:val="0"/>
              <w:marBottom w:val="0"/>
              <w:divBdr>
                <w:top w:val="none" w:sz="0" w:space="0" w:color="auto"/>
                <w:left w:val="none" w:sz="0" w:space="0" w:color="auto"/>
                <w:bottom w:val="none" w:sz="0" w:space="0" w:color="auto"/>
                <w:right w:val="none" w:sz="0" w:space="0" w:color="auto"/>
              </w:divBdr>
              <w:divsChild>
                <w:div w:id="2213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3631">
          <w:marLeft w:val="0"/>
          <w:marRight w:val="0"/>
          <w:marTop w:val="0"/>
          <w:marBottom w:val="480"/>
          <w:divBdr>
            <w:top w:val="none" w:sz="0" w:space="0" w:color="auto"/>
            <w:left w:val="none" w:sz="0" w:space="0" w:color="auto"/>
            <w:bottom w:val="none" w:sz="0" w:space="0" w:color="auto"/>
            <w:right w:val="none" w:sz="0" w:space="0" w:color="auto"/>
          </w:divBdr>
          <w:divsChild>
            <w:div w:id="1281182879">
              <w:marLeft w:val="0"/>
              <w:marRight w:val="0"/>
              <w:marTop w:val="0"/>
              <w:marBottom w:val="0"/>
              <w:divBdr>
                <w:top w:val="none" w:sz="0" w:space="0" w:color="auto"/>
                <w:left w:val="none" w:sz="0" w:space="0" w:color="auto"/>
                <w:bottom w:val="none" w:sz="0" w:space="0" w:color="auto"/>
                <w:right w:val="none" w:sz="0" w:space="0" w:color="auto"/>
              </w:divBdr>
            </w:div>
            <w:div w:id="626349750">
              <w:marLeft w:val="0"/>
              <w:marRight w:val="0"/>
              <w:marTop w:val="0"/>
              <w:marBottom w:val="0"/>
              <w:divBdr>
                <w:top w:val="none" w:sz="0" w:space="0" w:color="auto"/>
                <w:left w:val="none" w:sz="0" w:space="0" w:color="auto"/>
                <w:bottom w:val="none" w:sz="0" w:space="0" w:color="auto"/>
                <w:right w:val="none" w:sz="0" w:space="0" w:color="auto"/>
              </w:divBdr>
              <w:divsChild>
                <w:div w:id="20928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932">
          <w:marLeft w:val="0"/>
          <w:marRight w:val="0"/>
          <w:marTop w:val="0"/>
          <w:marBottom w:val="0"/>
          <w:divBdr>
            <w:top w:val="none" w:sz="0" w:space="0" w:color="auto"/>
            <w:left w:val="none" w:sz="0" w:space="0" w:color="auto"/>
            <w:bottom w:val="none" w:sz="0" w:space="0" w:color="auto"/>
            <w:right w:val="none" w:sz="0" w:space="0" w:color="auto"/>
          </w:divBdr>
          <w:divsChild>
            <w:div w:id="1097211088">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sChild>
                <w:div w:id="16691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4554">
          <w:marLeft w:val="0"/>
          <w:marRight w:val="0"/>
          <w:marTop w:val="0"/>
          <w:marBottom w:val="0"/>
          <w:divBdr>
            <w:top w:val="none" w:sz="0" w:space="0" w:color="auto"/>
            <w:left w:val="none" w:sz="0" w:space="0" w:color="auto"/>
            <w:bottom w:val="none" w:sz="0" w:space="0" w:color="auto"/>
            <w:right w:val="none" w:sz="0" w:space="0" w:color="auto"/>
          </w:divBdr>
          <w:divsChild>
            <w:div w:id="156114052">
              <w:marLeft w:val="0"/>
              <w:marRight w:val="0"/>
              <w:marTop w:val="0"/>
              <w:marBottom w:val="0"/>
              <w:divBdr>
                <w:top w:val="none" w:sz="0" w:space="0" w:color="auto"/>
                <w:left w:val="none" w:sz="0" w:space="0" w:color="auto"/>
                <w:bottom w:val="none" w:sz="0" w:space="0" w:color="auto"/>
                <w:right w:val="none" w:sz="0" w:space="0" w:color="auto"/>
              </w:divBdr>
            </w:div>
            <w:div w:id="197206363">
              <w:marLeft w:val="0"/>
              <w:marRight w:val="0"/>
              <w:marTop w:val="0"/>
              <w:marBottom w:val="0"/>
              <w:divBdr>
                <w:top w:val="none" w:sz="0" w:space="0" w:color="auto"/>
                <w:left w:val="none" w:sz="0" w:space="0" w:color="auto"/>
                <w:bottom w:val="none" w:sz="0" w:space="0" w:color="auto"/>
                <w:right w:val="none" w:sz="0" w:space="0" w:color="auto"/>
              </w:divBdr>
              <w:divsChild>
                <w:div w:id="19019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952">
          <w:marLeft w:val="0"/>
          <w:marRight w:val="0"/>
          <w:marTop w:val="0"/>
          <w:marBottom w:val="0"/>
          <w:divBdr>
            <w:top w:val="none" w:sz="0" w:space="0" w:color="auto"/>
            <w:left w:val="none" w:sz="0" w:space="0" w:color="auto"/>
            <w:bottom w:val="none" w:sz="0" w:space="0" w:color="auto"/>
            <w:right w:val="none" w:sz="0" w:space="0" w:color="auto"/>
          </w:divBdr>
          <w:divsChild>
            <w:div w:id="1577396200">
              <w:marLeft w:val="0"/>
              <w:marRight w:val="0"/>
              <w:marTop w:val="0"/>
              <w:marBottom w:val="0"/>
              <w:divBdr>
                <w:top w:val="none" w:sz="0" w:space="0" w:color="auto"/>
                <w:left w:val="none" w:sz="0" w:space="0" w:color="auto"/>
                <w:bottom w:val="none" w:sz="0" w:space="0" w:color="auto"/>
                <w:right w:val="none" w:sz="0" w:space="0" w:color="auto"/>
              </w:divBdr>
            </w:div>
            <w:div w:id="80612006">
              <w:marLeft w:val="0"/>
              <w:marRight w:val="0"/>
              <w:marTop w:val="0"/>
              <w:marBottom w:val="0"/>
              <w:divBdr>
                <w:top w:val="none" w:sz="0" w:space="0" w:color="auto"/>
                <w:left w:val="none" w:sz="0" w:space="0" w:color="auto"/>
                <w:bottom w:val="none" w:sz="0" w:space="0" w:color="auto"/>
                <w:right w:val="none" w:sz="0" w:space="0" w:color="auto"/>
              </w:divBdr>
              <w:divsChild>
                <w:div w:id="3612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0331">
          <w:marLeft w:val="0"/>
          <w:marRight w:val="0"/>
          <w:marTop w:val="0"/>
          <w:marBottom w:val="0"/>
          <w:divBdr>
            <w:top w:val="none" w:sz="0" w:space="0" w:color="auto"/>
            <w:left w:val="none" w:sz="0" w:space="0" w:color="auto"/>
            <w:bottom w:val="none" w:sz="0" w:space="0" w:color="auto"/>
            <w:right w:val="none" w:sz="0" w:space="0" w:color="auto"/>
          </w:divBdr>
          <w:divsChild>
            <w:div w:id="1937590917">
              <w:marLeft w:val="0"/>
              <w:marRight w:val="0"/>
              <w:marTop w:val="0"/>
              <w:marBottom w:val="0"/>
              <w:divBdr>
                <w:top w:val="none" w:sz="0" w:space="0" w:color="auto"/>
                <w:left w:val="none" w:sz="0" w:space="0" w:color="auto"/>
                <w:bottom w:val="none" w:sz="0" w:space="0" w:color="auto"/>
                <w:right w:val="none" w:sz="0" w:space="0" w:color="auto"/>
              </w:divBdr>
            </w:div>
            <w:div w:id="1507942815">
              <w:marLeft w:val="0"/>
              <w:marRight w:val="0"/>
              <w:marTop w:val="0"/>
              <w:marBottom w:val="0"/>
              <w:divBdr>
                <w:top w:val="none" w:sz="0" w:space="0" w:color="auto"/>
                <w:left w:val="none" w:sz="0" w:space="0" w:color="auto"/>
                <w:bottom w:val="none" w:sz="0" w:space="0" w:color="auto"/>
                <w:right w:val="none" w:sz="0" w:space="0" w:color="auto"/>
              </w:divBdr>
              <w:divsChild>
                <w:div w:id="20530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8322">
          <w:marLeft w:val="0"/>
          <w:marRight w:val="0"/>
          <w:marTop w:val="0"/>
          <w:marBottom w:val="0"/>
          <w:divBdr>
            <w:top w:val="none" w:sz="0" w:space="0" w:color="auto"/>
            <w:left w:val="none" w:sz="0" w:space="0" w:color="auto"/>
            <w:bottom w:val="none" w:sz="0" w:space="0" w:color="auto"/>
            <w:right w:val="none" w:sz="0" w:space="0" w:color="auto"/>
          </w:divBdr>
          <w:divsChild>
            <w:div w:id="1464273900">
              <w:marLeft w:val="0"/>
              <w:marRight w:val="0"/>
              <w:marTop w:val="0"/>
              <w:marBottom w:val="0"/>
              <w:divBdr>
                <w:top w:val="none" w:sz="0" w:space="0" w:color="auto"/>
                <w:left w:val="none" w:sz="0" w:space="0" w:color="auto"/>
                <w:bottom w:val="none" w:sz="0" w:space="0" w:color="auto"/>
                <w:right w:val="none" w:sz="0" w:space="0" w:color="auto"/>
              </w:divBdr>
            </w:div>
            <w:div w:id="228155410">
              <w:marLeft w:val="0"/>
              <w:marRight w:val="0"/>
              <w:marTop w:val="0"/>
              <w:marBottom w:val="0"/>
              <w:divBdr>
                <w:top w:val="none" w:sz="0" w:space="0" w:color="auto"/>
                <w:left w:val="none" w:sz="0" w:space="0" w:color="auto"/>
                <w:bottom w:val="none" w:sz="0" w:space="0" w:color="auto"/>
                <w:right w:val="none" w:sz="0" w:space="0" w:color="auto"/>
              </w:divBdr>
              <w:divsChild>
                <w:div w:id="20173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48966">
          <w:marLeft w:val="0"/>
          <w:marRight w:val="0"/>
          <w:marTop w:val="0"/>
          <w:marBottom w:val="480"/>
          <w:divBdr>
            <w:top w:val="none" w:sz="0" w:space="0" w:color="auto"/>
            <w:left w:val="none" w:sz="0" w:space="0" w:color="auto"/>
            <w:bottom w:val="none" w:sz="0" w:space="0" w:color="auto"/>
            <w:right w:val="none" w:sz="0" w:space="0" w:color="auto"/>
          </w:divBdr>
          <w:divsChild>
            <w:div w:id="954214995">
              <w:marLeft w:val="0"/>
              <w:marRight w:val="0"/>
              <w:marTop w:val="0"/>
              <w:marBottom w:val="0"/>
              <w:divBdr>
                <w:top w:val="none" w:sz="0" w:space="0" w:color="auto"/>
                <w:left w:val="none" w:sz="0" w:space="0" w:color="auto"/>
                <w:bottom w:val="none" w:sz="0" w:space="0" w:color="auto"/>
                <w:right w:val="none" w:sz="0" w:space="0" w:color="auto"/>
              </w:divBdr>
            </w:div>
            <w:div w:id="1865898383">
              <w:marLeft w:val="0"/>
              <w:marRight w:val="0"/>
              <w:marTop w:val="0"/>
              <w:marBottom w:val="0"/>
              <w:divBdr>
                <w:top w:val="none" w:sz="0" w:space="0" w:color="auto"/>
                <w:left w:val="none" w:sz="0" w:space="0" w:color="auto"/>
                <w:bottom w:val="none" w:sz="0" w:space="0" w:color="auto"/>
                <w:right w:val="none" w:sz="0" w:space="0" w:color="auto"/>
              </w:divBdr>
              <w:divsChild>
                <w:div w:id="9789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297">
          <w:marLeft w:val="0"/>
          <w:marRight w:val="0"/>
          <w:marTop w:val="0"/>
          <w:marBottom w:val="480"/>
          <w:divBdr>
            <w:top w:val="none" w:sz="0" w:space="0" w:color="auto"/>
            <w:left w:val="none" w:sz="0" w:space="0" w:color="auto"/>
            <w:bottom w:val="none" w:sz="0" w:space="0" w:color="auto"/>
            <w:right w:val="none" w:sz="0" w:space="0" w:color="auto"/>
          </w:divBdr>
          <w:divsChild>
            <w:div w:id="1268080394">
              <w:marLeft w:val="0"/>
              <w:marRight w:val="0"/>
              <w:marTop w:val="0"/>
              <w:marBottom w:val="0"/>
              <w:divBdr>
                <w:top w:val="none" w:sz="0" w:space="0" w:color="auto"/>
                <w:left w:val="none" w:sz="0" w:space="0" w:color="auto"/>
                <w:bottom w:val="none" w:sz="0" w:space="0" w:color="auto"/>
                <w:right w:val="none" w:sz="0" w:space="0" w:color="auto"/>
              </w:divBdr>
            </w:div>
            <w:div w:id="1092623852">
              <w:marLeft w:val="0"/>
              <w:marRight w:val="0"/>
              <w:marTop w:val="0"/>
              <w:marBottom w:val="0"/>
              <w:divBdr>
                <w:top w:val="none" w:sz="0" w:space="0" w:color="auto"/>
                <w:left w:val="none" w:sz="0" w:space="0" w:color="auto"/>
                <w:bottom w:val="none" w:sz="0" w:space="0" w:color="auto"/>
                <w:right w:val="none" w:sz="0" w:space="0" w:color="auto"/>
              </w:divBdr>
              <w:divsChild>
                <w:div w:id="7629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8153">
          <w:marLeft w:val="0"/>
          <w:marRight w:val="0"/>
          <w:marTop w:val="0"/>
          <w:marBottom w:val="480"/>
          <w:divBdr>
            <w:top w:val="none" w:sz="0" w:space="0" w:color="auto"/>
            <w:left w:val="none" w:sz="0" w:space="0" w:color="auto"/>
            <w:bottom w:val="none" w:sz="0" w:space="0" w:color="auto"/>
            <w:right w:val="none" w:sz="0" w:space="0" w:color="auto"/>
          </w:divBdr>
          <w:divsChild>
            <w:div w:id="1729960902">
              <w:marLeft w:val="0"/>
              <w:marRight w:val="0"/>
              <w:marTop w:val="0"/>
              <w:marBottom w:val="0"/>
              <w:divBdr>
                <w:top w:val="none" w:sz="0" w:space="0" w:color="auto"/>
                <w:left w:val="none" w:sz="0" w:space="0" w:color="auto"/>
                <w:bottom w:val="none" w:sz="0" w:space="0" w:color="auto"/>
                <w:right w:val="none" w:sz="0" w:space="0" w:color="auto"/>
              </w:divBdr>
            </w:div>
            <w:div w:id="751586845">
              <w:marLeft w:val="0"/>
              <w:marRight w:val="0"/>
              <w:marTop w:val="0"/>
              <w:marBottom w:val="0"/>
              <w:divBdr>
                <w:top w:val="none" w:sz="0" w:space="0" w:color="auto"/>
                <w:left w:val="none" w:sz="0" w:space="0" w:color="auto"/>
                <w:bottom w:val="none" w:sz="0" w:space="0" w:color="auto"/>
                <w:right w:val="none" w:sz="0" w:space="0" w:color="auto"/>
              </w:divBdr>
              <w:divsChild>
                <w:div w:id="17501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8250">
          <w:marLeft w:val="0"/>
          <w:marRight w:val="0"/>
          <w:marTop w:val="0"/>
          <w:marBottom w:val="480"/>
          <w:divBdr>
            <w:top w:val="none" w:sz="0" w:space="0" w:color="auto"/>
            <w:left w:val="none" w:sz="0" w:space="0" w:color="auto"/>
            <w:bottom w:val="none" w:sz="0" w:space="0" w:color="auto"/>
            <w:right w:val="none" w:sz="0" w:space="0" w:color="auto"/>
          </w:divBdr>
          <w:divsChild>
            <w:div w:id="1470979506">
              <w:marLeft w:val="0"/>
              <w:marRight w:val="0"/>
              <w:marTop w:val="0"/>
              <w:marBottom w:val="0"/>
              <w:divBdr>
                <w:top w:val="none" w:sz="0" w:space="0" w:color="auto"/>
                <w:left w:val="none" w:sz="0" w:space="0" w:color="auto"/>
                <w:bottom w:val="none" w:sz="0" w:space="0" w:color="auto"/>
                <w:right w:val="none" w:sz="0" w:space="0" w:color="auto"/>
              </w:divBdr>
            </w:div>
            <w:div w:id="1180311308">
              <w:marLeft w:val="0"/>
              <w:marRight w:val="0"/>
              <w:marTop w:val="0"/>
              <w:marBottom w:val="0"/>
              <w:divBdr>
                <w:top w:val="none" w:sz="0" w:space="0" w:color="auto"/>
                <w:left w:val="none" w:sz="0" w:space="0" w:color="auto"/>
                <w:bottom w:val="none" w:sz="0" w:space="0" w:color="auto"/>
                <w:right w:val="none" w:sz="0" w:space="0" w:color="auto"/>
              </w:divBdr>
              <w:divsChild>
                <w:div w:id="1125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9894">
          <w:marLeft w:val="0"/>
          <w:marRight w:val="0"/>
          <w:marTop w:val="0"/>
          <w:marBottom w:val="480"/>
          <w:divBdr>
            <w:top w:val="none" w:sz="0" w:space="0" w:color="auto"/>
            <w:left w:val="none" w:sz="0" w:space="0" w:color="auto"/>
            <w:bottom w:val="none" w:sz="0" w:space="0" w:color="auto"/>
            <w:right w:val="none" w:sz="0" w:space="0" w:color="auto"/>
          </w:divBdr>
          <w:divsChild>
            <w:div w:id="482740749">
              <w:marLeft w:val="0"/>
              <w:marRight w:val="0"/>
              <w:marTop w:val="0"/>
              <w:marBottom w:val="0"/>
              <w:divBdr>
                <w:top w:val="none" w:sz="0" w:space="0" w:color="auto"/>
                <w:left w:val="none" w:sz="0" w:space="0" w:color="auto"/>
                <w:bottom w:val="none" w:sz="0" w:space="0" w:color="auto"/>
                <w:right w:val="none" w:sz="0" w:space="0" w:color="auto"/>
              </w:divBdr>
            </w:div>
            <w:div w:id="99761207">
              <w:marLeft w:val="0"/>
              <w:marRight w:val="0"/>
              <w:marTop w:val="0"/>
              <w:marBottom w:val="0"/>
              <w:divBdr>
                <w:top w:val="none" w:sz="0" w:space="0" w:color="auto"/>
                <w:left w:val="none" w:sz="0" w:space="0" w:color="auto"/>
                <w:bottom w:val="none" w:sz="0" w:space="0" w:color="auto"/>
                <w:right w:val="none" w:sz="0" w:space="0" w:color="auto"/>
              </w:divBdr>
              <w:divsChild>
                <w:div w:id="7562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59499">
          <w:marLeft w:val="0"/>
          <w:marRight w:val="0"/>
          <w:marTop w:val="0"/>
          <w:marBottom w:val="0"/>
          <w:divBdr>
            <w:top w:val="none" w:sz="0" w:space="0" w:color="auto"/>
            <w:left w:val="none" w:sz="0" w:space="0" w:color="auto"/>
            <w:bottom w:val="none" w:sz="0" w:space="0" w:color="auto"/>
            <w:right w:val="none" w:sz="0" w:space="0" w:color="auto"/>
          </w:divBdr>
          <w:divsChild>
            <w:div w:id="1381976222">
              <w:marLeft w:val="0"/>
              <w:marRight w:val="0"/>
              <w:marTop w:val="0"/>
              <w:marBottom w:val="0"/>
              <w:divBdr>
                <w:top w:val="none" w:sz="0" w:space="0" w:color="auto"/>
                <w:left w:val="none" w:sz="0" w:space="0" w:color="auto"/>
                <w:bottom w:val="none" w:sz="0" w:space="0" w:color="auto"/>
                <w:right w:val="none" w:sz="0" w:space="0" w:color="auto"/>
              </w:divBdr>
            </w:div>
            <w:div w:id="88473789">
              <w:marLeft w:val="0"/>
              <w:marRight w:val="0"/>
              <w:marTop w:val="0"/>
              <w:marBottom w:val="0"/>
              <w:divBdr>
                <w:top w:val="none" w:sz="0" w:space="0" w:color="auto"/>
                <w:left w:val="none" w:sz="0" w:space="0" w:color="auto"/>
                <w:bottom w:val="none" w:sz="0" w:space="0" w:color="auto"/>
                <w:right w:val="none" w:sz="0" w:space="0" w:color="auto"/>
              </w:divBdr>
              <w:divsChild>
                <w:div w:id="18293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4299">
          <w:marLeft w:val="0"/>
          <w:marRight w:val="0"/>
          <w:marTop w:val="0"/>
          <w:marBottom w:val="0"/>
          <w:divBdr>
            <w:top w:val="none" w:sz="0" w:space="0" w:color="auto"/>
            <w:left w:val="none" w:sz="0" w:space="0" w:color="auto"/>
            <w:bottom w:val="none" w:sz="0" w:space="0" w:color="auto"/>
            <w:right w:val="none" w:sz="0" w:space="0" w:color="auto"/>
          </w:divBdr>
          <w:divsChild>
            <w:div w:id="450630560">
              <w:marLeft w:val="0"/>
              <w:marRight w:val="0"/>
              <w:marTop w:val="0"/>
              <w:marBottom w:val="0"/>
              <w:divBdr>
                <w:top w:val="none" w:sz="0" w:space="0" w:color="auto"/>
                <w:left w:val="none" w:sz="0" w:space="0" w:color="auto"/>
                <w:bottom w:val="none" w:sz="0" w:space="0" w:color="auto"/>
                <w:right w:val="none" w:sz="0" w:space="0" w:color="auto"/>
              </w:divBdr>
            </w:div>
            <w:div w:id="1544633442">
              <w:marLeft w:val="0"/>
              <w:marRight w:val="0"/>
              <w:marTop w:val="0"/>
              <w:marBottom w:val="0"/>
              <w:divBdr>
                <w:top w:val="none" w:sz="0" w:space="0" w:color="auto"/>
                <w:left w:val="none" w:sz="0" w:space="0" w:color="auto"/>
                <w:bottom w:val="none" w:sz="0" w:space="0" w:color="auto"/>
                <w:right w:val="none" w:sz="0" w:space="0" w:color="auto"/>
              </w:divBdr>
              <w:divsChild>
                <w:div w:id="19155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3E5B258-C4F8-48B6-8D98-1EFBB9A2F5DA}"/>
</file>

<file path=customXml/itemProps2.xml><?xml version="1.0" encoding="utf-8"?>
<ds:datastoreItem xmlns:ds="http://schemas.openxmlformats.org/officeDocument/2006/customXml" ds:itemID="{D884AA4C-6C05-4272-954C-1B2B9E060255}"/>
</file>

<file path=customXml/itemProps3.xml><?xml version="1.0" encoding="utf-8"?>
<ds:datastoreItem xmlns:ds="http://schemas.openxmlformats.org/officeDocument/2006/customXml" ds:itemID="{893DFB16-B487-4C55-81EE-182FFCA41097}"/>
</file>

<file path=docProps/app.xml><?xml version="1.0" encoding="utf-8"?>
<Properties xmlns="http://schemas.openxmlformats.org/officeDocument/2006/extended-properties" xmlns:vt="http://schemas.openxmlformats.org/officeDocument/2006/docPropsVTypes">
  <Template>Normal</Template>
  <TotalTime>1</TotalTime>
  <Pages>5</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