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3A29" w14:textId="77777777" w:rsidR="0067041C" w:rsidRDefault="0067041C" w:rsidP="0067041C">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Re-Audit of Radical Radiotherapy outcomes for Medically Inoperable early </w:t>
      </w:r>
      <w:proofErr w:type="spellStart"/>
      <w:proofErr w:type="gramStart"/>
      <w:r>
        <w:rPr>
          <w:rFonts w:ascii="Arial" w:hAnsi="Arial" w:cs="Arial"/>
          <w:color w:val="007CBE"/>
          <w:spacing w:val="-15"/>
          <w:sz w:val="50"/>
          <w:szCs w:val="50"/>
        </w:rPr>
        <w:t>Non Small</w:t>
      </w:r>
      <w:proofErr w:type="spellEnd"/>
      <w:proofErr w:type="gramEnd"/>
      <w:r>
        <w:rPr>
          <w:rFonts w:ascii="Arial" w:hAnsi="Arial" w:cs="Arial"/>
          <w:color w:val="007CBE"/>
          <w:spacing w:val="-15"/>
          <w:sz w:val="50"/>
          <w:szCs w:val="50"/>
        </w:rPr>
        <w:t xml:space="preserve"> Cell Lung Cancer (NSCLC).</w:t>
      </w:r>
    </w:p>
    <w:p w14:paraId="0BD44F1C"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EB8B02"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measure local management of medically inoperable NSCLC against national guidelines from 2004 to 2007.It will also compare current survival outcomes against two previous audits carried out in 1986-1992 and more recently in 2001 to 2003 in a similar </w:t>
      </w:r>
      <w:proofErr w:type="spellStart"/>
      <w:r>
        <w:rPr>
          <w:rFonts w:ascii="Arial" w:hAnsi="Arial" w:cs="Arial"/>
          <w:color w:val="343434"/>
          <w:sz w:val="23"/>
          <w:szCs w:val="23"/>
        </w:rPr>
        <w:t>population.Also</w:t>
      </w:r>
      <w:proofErr w:type="spellEnd"/>
      <w:r>
        <w:rPr>
          <w:rFonts w:ascii="Arial" w:hAnsi="Arial" w:cs="Arial"/>
          <w:color w:val="343434"/>
          <w:sz w:val="23"/>
          <w:szCs w:val="23"/>
        </w:rPr>
        <w:t xml:space="preserve"> moving towards the delivery of Stereotactic Ablative Body Radiotherapy (SABR) in our region, we wanted to estimate the number of patients who may be suitable for this treatment per year.</w:t>
      </w:r>
    </w:p>
    <w:p w14:paraId="6940C183"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44CAD1B"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Lung cancer is one of the most common cancers and has high mortality rates across all stages of disease. (</w:t>
      </w:r>
      <w:proofErr w:type="gramStart"/>
      <w:r>
        <w:rPr>
          <w:rFonts w:ascii="Arial" w:hAnsi="Arial" w:cs="Arial"/>
          <w:color w:val="343434"/>
          <w:sz w:val="23"/>
          <w:szCs w:val="23"/>
        </w:rPr>
        <w:t>1)In</w:t>
      </w:r>
      <w:proofErr w:type="gramEnd"/>
      <w:r>
        <w:rPr>
          <w:rFonts w:ascii="Arial" w:hAnsi="Arial" w:cs="Arial"/>
          <w:color w:val="343434"/>
          <w:sz w:val="23"/>
          <w:szCs w:val="23"/>
        </w:rPr>
        <w:t xml:space="preserve"> comparison to Sweden and Canada the UK has lower cure rates; reasons for this are thought to be that the UK lung cancer population is frailer, and has more advanced stage at diagnosis. However, wide disparities in stage specific survival suggest differences in treatment and some of this may be due to access to specific advanced radiotherapy treatments (2</w:t>
      </w:r>
      <w:proofErr w:type="gramStart"/>
      <w:r>
        <w:rPr>
          <w:rFonts w:ascii="Arial" w:hAnsi="Arial" w:cs="Arial"/>
          <w:color w:val="343434"/>
          <w:sz w:val="23"/>
          <w:szCs w:val="23"/>
        </w:rPr>
        <w:t>).The</w:t>
      </w:r>
      <w:proofErr w:type="gramEnd"/>
      <w:r>
        <w:rPr>
          <w:rFonts w:ascii="Arial" w:hAnsi="Arial" w:cs="Arial"/>
          <w:color w:val="343434"/>
          <w:sz w:val="23"/>
          <w:szCs w:val="23"/>
        </w:rPr>
        <w:t xml:space="preserve"> management of NSCLC has changed dramatically over the past 5-10 years due to advances in surgery, radiological staging, combined modality therapies, and advances in radiation technology. In particular the use of [F18]-2’-fluoro-2’-deoxy-D-glucose (FDG) Positron Emission Tomography Computed Tomography </w:t>
      </w:r>
      <w:proofErr w:type="gramStart"/>
      <w:r>
        <w:rPr>
          <w:rFonts w:ascii="Arial" w:hAnsi="Arial" w:cs="Arial"/>
          <w:color w:val="343434"/>
          <w:sz w:val="23"/>
          <w:szCs w:val="23"/>
        </w:rPr>
        <w:t>( PETCT</w:t>
      </w:r>
      <w:proofErr w:type="gramEnd"/>
      <w:r>
        <w:rPr>
          <w:rFonts w:ascii="Arial" w:hAnsi="Arial" w:cs="Arial"/>
          <w:color w:val="343434"/>
          <w:sz w:val="23"/>
          <w:szCs w:val="23"/>
        </w:rPr>
        <w:t xml:space="preserve">) used for </w:t>
      </w:r>
      <w:proofErr w:type="spellStart"/>
      <w:r>
        <w:rPr>
          <w:rFonts w:ascii="Arial" w:hAnsi="Arial" w:cs="Arial"/>
          <w:color w:val="343434"/>
          <w:sz w:val="23"/>
          <w:szCs w:val="23"/>
        </w:rPr>
        <w:t>staging.For</w:t>
      </w:r>
      <w:proofErr w:type="spellEnd"/>
      <w:r>
        <w:rPr>
          <w:rFonts w:ascii="Arial" w:hAnsi="Arial" w:cs="Arial"/>
          <w:color w:val="343434"/>
          <w:sz w:val="23"/>
          <w:szCs w:val="23"/>
        </w:rPr>
        <w:t xml:space="preserve"> Stage I &amp; II NSCLC (6th Edition of AJCC staging), surgical resection is considered the standard of care in patients medically fit for </w:t>
      </w:r>
      <w:proofErr w:type="spellStart"/>
      <w:r>
        <w:rPr>
          <w:rFonts w:ascii="Arial" w:hAnsi="Arial" w:cs="Arial"/>
          <w:color w:val="343434"/>
          <w:sz w:val="23"/>
          <w:szCs w:val="23"/>
        </w:rPr>
        <w:t>surgery.However</w:t>
      </w:r>
      <w:proofErr w:type="spellEnd"/>
      <w:r>
        <w:rPr>
          <w:rFonts w:ascii="Arial" w:hAnsi="Arial" w:cs="Arial"/>
          <w:color w:val="343434"/>
          <w:sz w:val="23"/>
          <w:szCs w:val="23"/>
        </w:rPr>
        <w:t xml:space="preserve">, many patients are unable to have surgery due to medical co-morbidities. These patients tend to be older and frailer with poor World Health Organization Performance Status (WHO PS). These factors preclude them from surgery due to high anaesthetic risk. Biopsy is difficult due to poor pulmonary function tests (PFT’s) with low Forced Expiratory Volumes in one second (FEV1). This makes the risk of </w:t>
      </w:r>
      <w:proofErr w:type="spellStart"/>
      <w:r>
        <w:rPr>
          <w:rFonts w:ascii="Arial" w:hAnsi="Arial" w:cs="Arial"/>
          <w:color w:val="343434"/>
          <w:sz w:val="23"/>
          <w:szCs w:val="23"/>
        </w:rPr>
        <w:t>pnemothorax</w:t>
      </w:r>
      <w:proofErr w:type="spellEnd"/>
      <w:r>
        <w:rPr>
          <w:rFonts w:ascii="Arial" w:hAnsi="Arial" w:cs="Arial"/>
          <w:color w:val="343434"/>
          <w:sz w:val="23"/>
          <w:szCs w:val="23"/>
        </w:rPr>
        <w:t xml:space="preserve"> associated with computed tomography (CT) biopsy, greater for these </w:t>
      </w:r>
      <w:proofErr w:type="spellStart"/>
      <w:proofErr w:type="gramStart"/>
      <w:r>
        <w:rPr>
          <w:rFonts w:ascii="Arial" w:hAnsi="Arial" w:cs="Arial"/>
          <w:color w:val="343434"/>
          <w:sz w:val="23"/>
          <w:szCs w:val="23"/>
        </w:rPr>
        <w:t>patients.Radical</w:t>
      </w:r>
      <w:proofErr w:type="spellEnd"/>
      <w:proofErr w:type="gramEnd"/>
      <w:r>
        <w:rPr>
          <w:rFonts w:ascii="Arial" w:hAnsi="Arial" w:cs="Arial"/>
          <w:color w:val="343434"/>
          <w:sz w:val="23"/>
          <w:szCs w:val="23"/>
        </w:rPr>
        <w:t xml:space="preserve"> radiotherapy (RT) is an option for treatment for medically or technically inoperable Stage I/II NSCLC. A number of regimes exist around the United Kingdom (UK) for management of these patients including:• CHART (Continuous </w:t>
      </w:r>
      <w:proofErr w:type="spellStart"/>
      <w:r>
        <w:rPr>
          <w:rFonts w:ascii="Arial" w:hAnsi="Arial" w:cs="Arial"/>
          <w:color w:val="343434"/>
          <w:sz w:val="23"/>
          <w:szCs w:val="23"/>
        </w:rPr>
        <w:t>Hyperfractionated</w:t>
      </w:r>
      <w:proofErr w:type="spellEnd"/>
      <w:r>
        <w:rPr>
          <w:rFonts w:ascii="Arial" w:hAnsi="Arial" w:cs="Arial"/>
          <w:color w:val="343434"/>
          <w:sz w:val="23"/>
          <w:szCs w:val="23"/>
        </w:rPr>
        <w:t xml:space="preserve"> Accelerated Radiotherapy),• 52.5 - 55Gy/20#/OD/4weeks or• 64-66Gy/32-33#/OD/6.5 </w:t>
      </w:r>
      <w:proofErr w:type="spellStart"/>
      <w:r>
        <w:rPr>
          <w:rFonts w:ascii="Arial" w:hAnsi="Arial" w:cs="Arial"/>
          <w:color w:val="343434"/>
          <w:sz w:val="23"/>
          <w:szCs w:val="23"/>
        </w:rPr>
        <w:t>weeks.These</w:t>
      </w:r>
      <w:proofErr w:type="spellEnd"/>
      <w:r>
        <w:rPr>
          <w:rFonts w:ascii="Arial" w:hAnsi="Arial" w:cs="Arial"/>
          <w:color w:val="343434"/>
          <w:sz w:val="23"/>
          <w:szCs w:val="23"/>
        </w:rPr>
        <w:t xml:space="preserve"> are endorsed within national guidelines i.e. National Institute for Clinical Excellence and Royal College of Radiologists guidelines i.e. CHART (54Gy/36#/12days/TID) or 55Gy/20#/4weeks/OD or 64-66Gy/32-33#/6.5 weeks/OD (3-4).A large number of UK centres do not use CHART routinely due to the logistic requirements of delivering radiotherapy treatment three times daily in a radiotherapy </w:t>
      </w:r>
      <w:proofErr w:type="spellStart"/>
      <w:r>
        <w:rPr>
          <w:rFonts w:ascii="Arial" w:hAnsi="Arial" w:cs="Arial"/>
          <w:color w:val="343434"/>
          <w:sz w:val="23"/>
          <w:szCs w:val="23"/>
        </w:rPr>
        <w:t>department.However</w:t>
      </w:r>
      <w:proofErr w:type="spellEnd"/>
      <w:r>
        <w:rPr>
          <w:rFonts w:ascii="Arial" w:hAnsi="Arial" w:cs="Arial"/>
          <w:color w:val="343434"/>
          <w:sz w:val="23"/>
          <w:szCs w:val="23"/>
        </w:rPr>
        <w:t xml:space="preserve">, in the past 10 years, Stereotactic ablative radiotherapy (SABR) has become a standard of care for Stage I peripheral NSCLC who are medically unfit or inoperable and there has been increasing implementation in Europe over the past 5 </w:t>
      </w:r>
      <w:proofErr w:type="spellStart"/>
      <w:r>
        <w:rPr>
          <w:rFonts w:ascii="Arial" w:hAnsi="Arial" w:cs="Arial"/>
          <w:color w:val="343434"/>
          <w:sz w:val="23"/>
          <w:szCs w:val="23"/>
        </w:rPr>
        <w:t>years.There</w:t>
      </w:r>
      <w:proofErr w:type="spellEnd"/>
      <w:r>
        <w:rPr>
          <w:rFonts w:ascii="Arial" w:hAnsi="Arial" w:cs="Arial"/>
          <w:color w:val="343434"/>
          <w:sz w:val="23"/>
          <w:szCs w:val="23"/>
        </w:rPr>
        <w:t xml:space="preserve"> is expanding prospective and retrospective data from USA, Japan and Netherlands which support the role of SABR. These studies consistently show local control rates of 80–98 % at 3yrs, overall survival (OS) 50–70 % at 3 </w:t>
      </w:r>
      <w:proofErr w:type="spellStart"/>
      <w:r>
        <w:rPr>
          <w:rFonts w:ascii="Arial" w:hAnsi="Arial" w:cs="Arial"/>
          <w:color w:val="343434"/>
          <w:sz w:val="23"/>
          <w:szCs w:val="23"/>
        </w:rPr>
        <w:t>yrs</w:t>
      </w:r>
      <w:proofErr w:type="spellEnd"/>
      <w:r>
        <w:rPr>
          <w:rFonts w:ascii="Arial" w:hAnsi="Arial" w:cs="Arial"/>
          <w:color w:val="343434"/>
          <w:sz w:val="23"/>
          <w:szCs w:val="23"/>
        </w:rPr>
        <w:t>, but distant metastasis of up to 30% at 3 years (5).</w:t>
      </w:r>
    </w:p>
    <w:p w14:paraId="3C99E1F0" w14:textId="77777777" w:rsidR="0067041C" w:rsidRDefault="0067041C" w:rsidP="0067041C">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The Cycle</w:t>
      </w:r>
    </w:p>
    <w:p w14:paraId="767D9B36"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BB85D74"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NICE CG121•Offer CT- or ultrasound-guided Trans thoracic needle biopsy to patients with peripheral lung </w:t>
      </w:r>
      <w:proofErr w:type="spellStart"/>
      <w:r>
        <w:rPr>
          <w:rFonts w:ascii="Arial" w:hAnsi="Arial" w:cs="Arial"/>
          <w:color w:val="343434"/>
          <w:sz w:val="23"/>
          <w:szCs w:val="23"/>
        </w:rPr>
        <w:t>lesions.•Offer</w:t>
      </w:r>
      <w:proofErr w:type="spellEnd"/>
      <w:r>
        <w:rPr>
          <w:rFonts w:ascii="Arial" w:hAnsi="Arial" w:cs="Arial"/>
          <w:color w:val="343434"/>
          <w:sz w:val="23"/>
          <w:szCs w:val="23"/>
        </w:rPr>
        <w:t xml:space="preserve"> PET-CT as the preferred first test after CT showing a low probability of mediastinal malignancy (lymph nodes &lt; 10 mm maximum short axis on CT) for patients who are potentially suitable for treatment with curative </w:t>
      </w:r>
      <w:proofErr w:type="spellStart"/>
      <w:r>
        <w:rPr>
          <w:rFonts w:ascii="Arial" w:hAnsi="Arial" w:cs="Arial"/>
          <w:color w:val="343434"/>
          <w:sz w:val="23"/>
          <w:szCs w:val="23"/>
        </w:rPr>
        <w:t>intent.•Radical</w:t>
      </w:r>
      <w:proofErr w:type="spellEnd"/>
      <w:r>
        <w:rPr>
          <w:rFonts w:ascii="Arial" w:hAnsi="Arial" w:cs="Arial"/>
          <w:color w:val="343434"/>
          <w:sz w:val="23"/>
          <w:szCs w:val="23"/>
        </w:rPr>
        <w:t xml:space="preserve"> RT is indicated for patients with stage I, II or III NSCLC who have good PS (0,1) and whose disease can be encompassed in a radiotherapy treatment volume without undue risk of normal tissue </w:t>
      </w:r>
      <w:proofErr w:type="spellStart"/>
      <w:r>
        <w:rPr>
          <w:rFonts w:ascii="Arial" w:hAnsi="Arial" w:cs="Arial"/>
          <w:color w:val="343434"/>
          <w:sz w:val="23"/>
          <w:szCs w:val="23"/>
        </w:rPr>
        <w:t>damage.•All</w:t>
      </w:r>
      <w:proofErr w:type="spellEnd"/>
      <w:r>
        <w:rPr>
          <w:rFonts w:ascii="Arial" w:hAnsi="Arial" w:cs="Arial"/>
          <w:color w:val="343434"/>
          <w:sz w:val="23"/>
          <w:szCs w:val="23"/>
        </w:rPr>
        <w:t xml:space="preserve"> patients should undergo PFT’s before having radical RT for </w:t>
      </w:r>
      <w:proofErr w:type="spellStart"/>
      <w:r>
        <w:rPr>
          <w:rFonts w:ascii="Arial" w:hAnsi="Arial" w:cs="Arial"/>
          <w:color w:val="343434"/>
          <w:sz w:val="23"/>
          <w:szCs w:val="23"/>
        </w:rPr>
        <w:t>NSCLC.•Patients</w:t>
      </w:r>
      <w:proofErr w:type="spellEnd"/>
      <w:r>
        <w:rPr>
          <w:rFonts w:ascii="Arial" w:hAnsi="Arial" w:cs="Arial"/>
          <w:color w:val="343434"/>
          <w:sz w:val="23"/>
          <w:szCs w:val="23"/>
        </w:rPr>
        <w:t xml:space="preserve"> with stage I or II NSCLC who are medically inoperable but suitable for radical RT should be offered the CHART </w:t>
      </w:r>
      <w:proofErr w:type="spellStart"/>
      <w:r>
        <w:rPr>
          <w:rFonts w:ascii="Arial" w:hAnsi="Arial" w:cs="Arial"/>
          <w:color w:val="343434"/>
          <w:sz w:val="23"/>
          <w:szCs w:val="23"/>
        </w:rPr>
        <w:t>regimen.•If</w:t>
      </w:r>
      <w:proofErr w:type="spellEnd"/>
      <w:r>
        <w:rPr>
          <w:rFonts w:ascii="Arial" w:hAnsi="Arial" w:cs="Arial"/>
          <w:color w:val="343434"/>
          <w:sz w:val="23"/>
          <w:szCs w:val="23"/>
        </w:rPr>
        <w:t xml:space="preserve"> CHART is not available, offer conventionally fractionated radiotherapy to a dose of 64–66 </w:t>
      </w:r>
      <w:proofErr w:type="spellStart"/>
      <w:r>
        <w:rPr>
          <w:rFonts w:ascii="Arial" w:hAnsi="Arial" w:cs="Arial"/>
          <w:color w:val="343434"/>
          <w:sz w:val="23"/>
          <w:szCs w:val="23"/>
        </w:rPr>
        <w:t>Gy</w:t>
      </w:r>
      <w:proofErr w:type="spellEnd"/>
      <w:r>
        <w:rPr>
          <w:rFonts w:ascii="Arial" w:hAnsi="Arial" w:cs="Arial"/>
          <w:color w:val="343434"/>
          <w:sz w:val="23"/>
          <w:szCs w:val="23"/>
        </w:rPr>
        <w:t xml:space="preserve"> in 32–33 fractions over 6 1/2 weeks or 55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in 20 fractions over 4 weeks.CHART•2 year OS 30%•3 year OS 20%</w:t>
      </w:r>
    </w:p>
    <w:p w14:paraId="7AE60846"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5D85D2A"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70% of patients should have biopsy of the lesion </w:t>
      </w:r>
      <w:proofErr w:type="spellStart"/>
      <w:proofErr w:type="gramStart"/>
      <w:r>
        <w:rPr>
          <w:rFonts w:ascii="Arial" w:hAnsi="Arial" w:cs="Arial"/>
          <w:color w:val="343434"/>
          <w:sz w:val="23"/>
          <w:szCs w:val="23"/>
        </w:rPr>
        <w:t>pre treatment</w:t>
      </w:r>
      <w:proofErr w:type="spellEnd"/>
      <w:proofErr w:type="gramEnd"/>
      <w:r>
        <w:rPr>
          <w:rFonts w:ascii="Arial" w:hAnsi="Arial" w:cs="Arial"/>
          <w:color w:val="343434"/>
          <w:sz w:val="23"/>
          <w:szCs w:val="23"/>
        </w:rPr>
        <w:t xml:space="preserve"> with radical radiotherapy.100% of patients should have PETCT for staging if disease.100% of patients should have pulmonary function tests pre radical radiotherapy treatment.2 year and 3 year overall survival (OS) should be = 30% and 20% respectively.</w:t>
      </w:r>
    </w:p>
    <w:p w14:paraId="387AF84A" w14:textId="77777777" w:rsidR="0067041C" w:rsidRDefault="0067041C" w:rsidP="0067041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093F52A"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73134A2"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Proportion of patients having biopsy of the lesion </w:t>
      </w:r>
      <w:proofErr w:type="spellStart"/>
      <w:proofErr w:type="gramStart"/>
      <w:r>
        <w:rPr>
          <w:rFonts w:ascii="Arial" w:hAnsi="Arial" w:cs="Arial"/>
          <w:color w:val="343434"/>
          <w:sz w:val="23"/>
          <w:szCs w:val="23"/>
        </w:rPr>
        <w:t>pre treatment</w:t>
      </w:r>
      <w:proofErr w:type="spellEnd"/>
      <w:proofErr w:type="gramEnd"/>
      <w:r>
        <w:rPr>
          <w:rFonts w:ascii="Arial" w:hAnsi="Arial" w:cs="Arial"/>
          <w:color w:val="343434"/>
          <w:sz w:val="23"/>
          <w:szCs w:val="23"/>
        </w:rPr>
        <w:t xml:space="preserve"> with radical radiotherapy.2. Proportion of patients having PETCT for staging.3. Proportion of patients who were WHO PS 0–1.4. Proportion of patients who had pulmonary function tests pre radical radiotherapy.5. Proportion of patients who received 64 – 66 </w:t>
      </w:r>
      <w:proofErr w:type="spellStart"/>
      <w:r>
        <w:rPr>
          <w:rFonts w:ascii="Arial" w:hAnsi="Arial" w:cs="Arial"/>
          <w:color w:val="343434"/>
          <w:sz w:val="23"/>
          <w:szCs w:val="23"/>
        </w:rPr>
        <w:t>Gy</w:t>
      </w:r>
      <w:proofErr w:type="spellEnd"/>
      <w:r>
        <w:rPr>
          <w:rFonts w:ascii="Arial" w:hAnsi="Arial" w:cs="Arial"/>
          <w:color w:val="343434"/>
          <w:sz w:val="23"/>
          <w:szCs w:val="23"/>
        </w:rPr>
        <w:t xml:space="preserve"> in 32–33 fractions over 6 ½ weeks or 55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in 20 fractions over 4 weeks. (Note CHART is not available in this cancer centre).6. </w:t>
      </w:r>
      <w:proofErr w:type="gramStart"/>
      <w:r>
        <w:rPr>
          <w:rFonts w:ascii="Arial" w:hAnsi="Arial" w:cs="Arial"/>
          <w:color w:val="343434"/>
          <w:sz w:val="23"/>
          <w:szCs w:val="23"/>
        </w:rPr>
        <w:t>2 and 3 year</w:t>
      </w:r>
      <w:proofErr w:type="gramEnd"/>
      <w:r>
        <w:rPr>
          <w:rFonts w:ascii="Arial" w:hAnsi="Arial" w:cs="Arial"/>
          <w:color w:val="343434"/>
          <w:sz w:val="23"/>
          <w:szCs w:val="23"/>
        </w:rPr>
        <w:t xml:space="preserve"> OS.</w:t>
      </w:r>
    </w:p>
    <w:p w14:paraId="25BD05AB"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F8F2A4A"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1.Age2.Pre-treatment WHO PS3.Co-morbidities4.Type of biopsy – CT or US Guided biopsy.5.Pathology6.Staging PET CT7.Pulmonary Function Tests – FEV1, DLCO and KCO8.Disease Stage – T N M AJCC 6th Edition9.Thoracic </w:t>
      </w:r>
      <w:proofErr w:type="spellStart"/>
      <w:r>
        <w:rPr>
          <w:rFonts w:ascii="Arial" w:hAnsi="Arial" w:cs="Arial"/>
          <w:color w:val="343434"/>
          <w:sz w:val="23"/>
          <w:szCs w:val="23"/>
        </w:rPr>
        <w:t>radiotherapyoStart</w:t>
      </w:r>
      <w:proofErr w:type="spellEnd"/>
      <w:r>
        <w:rPr>
          <w:rFonts w:ascii="Arial" w:hAnsi="Arial" w:cs="Arial"/>
          <w:color w:val="343434"/>
          <w:sz w:val="23"/>
          <w:szCs w:val="23"/>
        </w:rPr>
        <w:t xml:space="preserve"> </w:t>
      </w:r>
      <w:proofErr w:type="spellStart"/>
      <w:r>
        <w:rPr>
          <w:rFonts w:ascii="Arial" w:hAnsi="Arial" w:cs="Arial"/>
          <w:color w:val="343434"/>
          <w:sz w:val="23"/>
          <w:szCs w:val="23"/>
        </w:rPr>
        <w:t>dateoCompletion</w:t>
      </w:r>
      <w:proofErr w:type="spellEnd"/>
      <w:r>
        <w:rPr>
          <w:rFonts w:ascii="Arial" w:hAnsi="Arial" w:cs="Arial"/>
          <w:color w:val="343434"/>
          <w:sz w:val="23"/>
          <w:szCs w:val="23"/>
        </w:rPr>
        <w:t xml:space="preserve"> </w:t>
      </w:r>
      <w:proofErr w:type="spellStart"/>
      <w:r>
        <w:rPr>
          <w:rFonts w:ascii="Arial" w:hAnsi="Arial" w:cs="Arial"/>
          <w:color w:val="343434"/>
          <w:sz w:val="23"/>
          <w:szCs w:val="23"/>
        </w:rPr>
        <w:t>dateoTreatment</w:t>
      </w:r>
      <w:proofErr w:type="spellEnd"/>
      <w:r>
        <w:rPr>
          <w:rFonts w:ascii="Arial" w:hAnsi="Arial" w:cs="Arial"/>
          <w:color w:val="343434"/>
          <w:sz w:val="23"/>
          <w:szCs w:val="23"/>
        </w:rPr>
        <w:t xml:space="preserve"> </w:t>
      </w:r>
      <w:proofErr w:type="spellStart"/>
      <w:r>
        <w:rPr>
          <w:rFonts w:ascii="Arial" w:hAnsi="Arial" w:cs="Arial"/>
          <w:color w:val="343434"/>
          <w:sz w:val="23"/>
          <w:szCs w:val="23"/>
        </w:rPr>
        <w:t>GapsoTotal</w:t>
      </w:r>
      <w:proofErr w:type="spellEnd"/>
      <w:r>
        <w:rPr>
          <w:rFonts w:ascii="Arial" w:hAnsi="Arial" w:cs="Arial"/>
          <w:color w:val="343434"/>
          <w:sz w:val="23"/>
          <w:szCs w:val="23"/>
        </w:rPr>
        <w:t xml:space="preserve"> radiation dose </w:t>
      </w:r>
      <w:proofErr w:type="spellStart"/>
      <w:r>
        <w:rPr>
          <w:rFonts w:ascii="Arial" w:hAnsi="Arial" w:cs="Arial"/>
          <w:color w:val="343434"/>
          <w:sz w:val="23"/>
          <w:szCs w:val="23"/>
        </w:rPr>
        <w:t>administeredoFractionationoTreatment</w:t>
      </w:r>
      <w:proofErr w:type="spellEnd"/>
      <w:r>
        <w:rPr>
          <w:rFonts w:ascii="Arial" w:hAnsi="Arial" w:cs="Arial"/>
          <w:color w:val="343434"/>
          <w:sz w:val="23"/>
          <w:szCs w:val="23"/>
        </w:rPr>
        <w:t xml:space="preserve"> </w:t>
      </w:r>
      <w:proofErr w:type="spellStart"/>
      <w:r>
        <w:rPr>
          <w:rFonts w:ascii="Arial" w:hAnsi="Arial" w:cs="Arial"/>
          <w:color w:val="343434"/>
          <w:sz w:val="23"/>
          <w:szCs w:val="23"/>
        </w:rPr>
        <w:t>timeoTreatment</w:t>
      </w:r>
      <w:proofErr w:type="spellEnd"/>
      <w:r>
        <w:rPr>
          <w:rFonts w:ascii="Arial" w:hAnsi="Arial" w:cs="Arial"/>
          <w:color w:val="343434"/>
          <w:sz w:val="23"/>
          <w:szCs w:val="23"/>
        </w:rPr>
        <w:t xml:space="preserve"> </w:t>
      </w:r>
      <w:proofErr w:type="spellStart"/>
      <w:r>
        <w:rPr>
          <w:rFonts w:ascii="Arial" w:hAnsi="Arial" w:cs="Arial"/>
          <w:color w:val="343434"/>
          <w:sz w:val="23"/>
          <w:szCs w:val="23"/>
        </w:rPr>
        <w:t>intentoReasons</w:t>
      </w:r>
      <w:proofErr w:type="spellEnd"/>
      <w:r>
        <w:rPr>
          <w:rFonts w:ascii="Arial" w:hAnsi="Arial" w:cs="Arial"/>
          <w:color w:val="343434"/>
          <w:sz w:val="23"/>
          <w:szCs w:val="23"/>
        </w:rPr>
        <w:t xml:space="preserve"> if palliative10.Treatment-related toxicity (Common Terminology Criteria version 3)</w:t>
      </w:r>
      <w:proofErr w:type="spellStart"/>
      <w:r>
        <w:rPr>
          <w:rFonts w:ascii="Arial" w:hAnsi="Arial" w:cs="Arial"/>
          <w:color w:val="343434"/>
          <w:sz w:val="23"/>
          <w:szCs w:val="23"/>
        </w:rPr>
        <w:t>oEarly</w:t>
      </w:r>
      <w:proofErr w:type="spellEnd"/>
      <w:r>
        <w:rPr>
          <w:rFonts w:ascii="Arial" w:hAnsi="Arial" w:cs="Arial"/>
          <w:color w:val="343434"/>
          <w:sz w:val="23"/>
          <w:szCs w:val="23"/>
        </w:rPr>
        <w:t xml:space="preserve"> (= 3 months)</w:t>
      </w:r>
      <w:proofErr w:type="spellStart"/>
      <w:r>
        <w:rPr>
          <w:rFonts w:ascii="Arial" w:hAnsi="Arial" w:cs="Arial"/>
          <w:color w:val="343434"/>
          <w:sz w:val="23"/>
          <w:szCs w:val="23"/>
        </w:rPr>
        <w:t>oLate</w:t>
      </w:r>
      <w:proofErr w:type="spellEnd"/>
      <w:r>
        <w:rPr>
          <w:rFonts w:ascii="Arial" w:hAnsi="Arial" w:cs="Arial"/>
          <w:color w:val="343434"/>
          <w:sz w:val="23"/>
          <w:szCs w:val="23"/>
        </w:rPr>
        <w:t xml:space="preserve"> (&gt; 3 months)11.Treatment </w:t>
      </w:r>
      <w:proofErr w:type="spellStart"/>
      <w:r>
        <w:rPr>
          <w:rFonts w:ascii="Arial" w:hAnsi="Arial" w:cs="Arial"/>
          <w:color w:val="343434"/>
          <w:sz w:val="23"/>
          <w:szCs w:val="23"/>
        </w:rPr>
        <w:t>responseoRecist</w:t>
      </w:r>
      <w:proofErr w:type="spellEnd"/>
      <w:r>
        <w:rPr>
          <w:rFonts w:ascii="Arial" w:hAnsi="Arial" w:cs="Arial"/>
          <w:color w:val="343434"/>
          <w:sz w:val="23"/>
          <w:szCs w:val="23"/>
        </w:rPr>
        <w:t xml:space="preserve"> Criteria12.Treatment </w:t>
      </w:r>
      <w:proofErr w:type="spellStart"/>
      <w:r>
        <w:rPr>
          <w:rFonts w:ascii="Arial" w:hAnsi="Arial" w:cs="Arial"/>
          <w:color w:val="343434"/>
          <w:sz w:val="23"/>
          <w:szCs w:val="23"/>
        </w:rPr>
        <w:t>outcomeoOverall</w:t>
      </w:r>
      <w:proofErr w:type="spellEnd"/>
      <w:r>
        <w:rPr>
          <w:rFonts w:ascii="Arial" w:hAnsi="Arial" w:cs="Arial"/>
          <w:color w:val="343434"/>
          <w:sz w:val="23"/>
          <w:szCs w:val="23"/>
        </w:rPr>
        <w:t xml:space="preserve"> survivalo2- and 3-year survival rate13.Patients suitable for SABR as per SABR UK Consortia Guidelines (6):</w:t>
      </w:r>
      <w:proofErr w:type="spellStart"/>
      <w:r>
        <w:rPr>
          <w:rFonts w:ascii="Arial" w:hAnsi="Arial" w:cs="Arial"/>
          <w:color w:val="343434"/>
          <w:sz w:val="23"/>
          <w:szCs w:val="23"/>
        </w:rPr>
        <w:t>oMDT</w:t>
      </w:r>
      <w:proofErr w:type="spellEnd"/>
      <w:r>
        <w:rPr>
          <w:rFonts w:ascii="Arial" w:hAnsi="Arial" w:cs="Arial"/>
          <w:color w:val="343434"/>
          <w:sz w:val="23"/>
          <w:szCs w:val="23"/>
        </w:rPr>
        <w:t xml:space="preserve"> confirmed diagnosis of NSCLC based on findings of positive histology, positive PET scan or growth on serial CT </w:t>
      </w:r>
      <w:proofErr w:type="spellStart"/>
      <w:r>
        <w:rPr>
          <w:rFonts w:ascii="Arial" w:hAnsi="Arial" w:cs="Arial"/>
          <w:color w:val="343434"/>
          <w:sz w:val="23"/>
          <w:szCs w:val="23"/>
        </w:rPr>
        <w:t>scanoClinical</w:t>
      </w:r>
      <w:proofErr w:type="spellEnd"/>
      <w:r>
        <w:rPr>
          <w:rFonts w:ascii="Arial" w:hAnsi="Arial" w:cs="Arial"/>
          <w:color w:val="343434"/>
          <w:sz w:val="23"/>
          <w:szCs w:val="23"/>
        </w:rPr>
        <w:t xml:space="preserve"> stages of T1 N0 M0 or T2 (=5cm) N0 M0 or T3 (=5cm) N0 M0oWHO PS 0-2oPeripheral lesions outside a 2cm radius of main airways and proximal bronchial tree.</w:t>
      </w:r>
    </w:p>
    <w:p w14:paraId="1256496E"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34BADB2"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diagnosed with Stage I and II </w:t>
      </w:r>
      <w:proofErr w:type="spellStart"/>
      <w:proofErr w:type="gramStart"/>
      <w:r>
        <w:rPr>
          <w:rFonts w:ascii="Arial" w:hAnsi="Arial" w:cs="Arial"/>
          <w:color w:val="343434"/>
          <w:sz w:val="23"/>
          <w:szCs w:val="23"/>
        </w:rPr>
        <w:t>Non Small</w:t>
      </w:r>
      <w:proofErr w:type="spellEnd"/>
      <w:proofErr w:type="gramEnd"/>
      <w:r>
        <w:rPr>
          <w:rFonts w:ascii="Arial" w:hAnsi="Arial" w:cs="Arial"/>
          <w:color w:val="343434"/>
          <w:sz w:val="23"/>
          <w:szCs w:val="23"/>
        </w:rPr>
        <w:t xml:space="preserve"> Cell Lung Cancer over a period of 4 years.</w:t>
      </w:r>
    </w:p>
    <w:p w14:paraId="595349FF"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6B4AAEA6"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problems in the diagnostic pathway to ensure patients are having pulmonary function tests and being assessed appropriately for biopsy by the multidisciplinary team. Discuss with radiology department capacity for all radical NSCLC patients to have PET CT for staging• Develop departmental protocol to guide management if one not available• Review departmental protocol against current national guidelines and identify reasons for non-concordance• Review adherence to departmental protocol• Re-audit in 12 </w:t>
      </w:r>
      <w:proofErr w:type="gramStart"/>
      <w:r>
        <w:rPr>
          <w:rFonts w:ascii="Arial" w:hAnsi="Arial" w:cs="Arial"/>
          <w:color w:val="343434"/>
          <w:sz w:val="23"/>
          <w:szCs w:val="23"/>
        </w:rPr>
        <w:t>months</w:t>
      </w:r>
      <w:proofErr w:type="gramEnd"/>
    </w:p>
    <w:p w14:paraId="2B1B0F8A"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82FF713"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collection methods: Password protected Microsoft Excel Spreadsheet to collect data which can be transferred into SPSS (Statistical Product and Service Solutions) Statistics package for </w:t>
      </w:r>
      <w:proofErr w:type="spellStart"/>
      <w:proofErr w:type="gramStart"/>
      <w:r>
        <w:rPr>
          <w:rFonts w:ascii="Arial" w:hAnsi="Arial" w:cs="Arial"/>
          <w:color w:val="343434"/>
          <w:sz w:val="23"/>
          <w:szCs w:val="23"/>
        </w:rPr>
        <w:t>analysis.Personnel</w:t>
      </w:r>
      <w:proofErr w:type="spellEnd"/>
      <w:proofErr w:type="gramEnd"/>
      <w:r>
        <w:rPr>
          <w:rFonts w:ascii="Arial" w:hAnsi="Arial" w:cs="Arial"/>
          <w:color w:val="343434"/>
          <w:sz w:val="23"/>
          <w:szCs w:val="23"/>
        </w:rPr>
        <w:t xml:space="preserve">: Audit lead, audit facilitator, consultant respiratory oncologist, therapy radiographer, statistician, junior medical staff – specialist trainee and core </w:t>
      </w:r>
      <w:proofErr w:type="spellStart"/>
      <w:r>
        <w:rPr>
          <w:rFonts w:ascii="Arial" w:hAnsi="Arial" w:cs="Arial"/>
          <w:color w:val="343434"/>
          <w:sz w:val="23"/>
          <w:szCs w:val="23"/>
        </w:rPr>
        <w:t>traineeTime</w:t>
      </w:r>
      <w:proofErr w:type="spellEnd"/>
      <w:r>
        <w:rPr>
          <w:rFonts w:ascii="Arial" w:hAnsi="Arial" w:cs="Arial"/>
          <w:color w:val="343434"/>
          <w:sz w:val="23"/>
          <w:szCs w:val="23"/>
        </w:rPr>
        <w:t>: 3 months to collect and analyse data and prepare report for audit committee. Presentation to be made to the audit meeting and Action Plan decided. Implementation date set and agreed date for re-audit.</w:t>
      </w:r>
    </w:p>
    <w:p w14:paraId="73267ADA"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643ED11" w14:textId="77777777" w:rsidR="0067041C" w:rsidRDefault="0067041C" w:rsidP="0067041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t>
      </w:r>
      <w:proofErr w:type="gramStart"/>
      <w:r>
        <w:rPr>
          <w:rFonts w:ascii="Arial" w:hAnsi="Arial" w:cs="Arial"/>
          <w:color w:val="343434"/>
          <w:sz w:val="23"/>
          <w:szCs w:val="23"/>
        </w:rPr>
        <w:t>1)Coleman</w:t>
      </w:r>
      <w:proofErr w:type="gramEnd"/>
      <w:r>
        <w:rPr>
          <w:rFonts w:ascii="Arial" w:hAnsi="Arial" w:cs="Arial"/>
          <w:color w:val="343434"/>
          <w:sz w:val="23"/>
          <w:szCs w:val="23"/>
        </w:rPr>
        <w:t xml:space="preserve"> MP, Forman D, Bryant H, Butler J, Rachet B, </w:t>
      </w:r>
      <w:proofErr w:type="spellStart"/>
      <w:r>
        <w:rPr>
          <w:rFonts w:ascii="Arial" w:hAnsi="Arial" w:cs="Arial"/>
          <w:color w:val="343434"/>
          <w:sz w:val="23"/>
          <w:szCs w:val="23"/>
        </w:rPr>
        <w:t>Maringe</w:t>
      </w:r>
      <w:proofErr w:type="spellEnd"/>
      <w:r>
        <w:rPr>
          <w:rFonts w:ascii="Arial" w:hAnsi="Arial" w:cs="Arial"/>
          <w:color w:val="343434"/>
          <w:sz w:val="23"/>
          <w:szCs w:val="23"/>
        </w:rPr>
        <w:t xml:space="preserve"> C, et al. Cancer survival in Australia, Canada, Denmark, Norway, Sweden, and the UK, 1995–2007 (the International Cancer Benchmarking Partnership): an analysis of population-based cancer registry data. The Lancet 2011;377(9760):127-</w:t>
      </w:r>
      <w:proofErr w:type="gramStart"/>
      <w:r>
        <w:rPr>
          <w:rFonts w:ascii="Arial" w:hAnsi="Arial" w:cs="Arial"/>
          <w:color w:val="343434"/>
          <w:sz w:val="23"/>
          <w:szCs w:val="23"/>
        </w:rPr>
        <w:t>138.(</w:t>
      </w:r>
      <w:proofErr w:type="gramEnd"/>
      <w:r>
        <w:rPr>
          <w:rFonts w:ascii="Arial" w:hAnsi="Arial" w:cs="Arial"/>
          <w:color w:val="343434"/>
          <w:sz w:val="23"/>
          <w:szCs w:val="23"/>
        </w:rPr>
        <w:t xml:space="preserve">2) Walters S et al “Lung cancer: Original article: Lung cancer survival and stage at diagnosis in Australia, Canada, Denmark, Norway, Sweden and the UK: a population-based study, 2004–2007” The ICBP Module 1 Working Group. Thorax </w:t>
      </w:r>
      <w:proofErr w:type="gramStart"/>
      <w:r>
        <w:rPr>
          <w:rFonts w:ascii="Arial" w:hAnsi="Arial" w:cs="Arial"/>
          <w:color w:val="343434"/>
          <w:sz w:val="23"/>
          <w:szCs w:val="23"/>
        </w:rPr>
        <w:t>2013;68:6</w:t>
      </w:r>
      <w:proofErr w:type="gramEnd"/>
      <w:r>
        <w:rPr>
          <w:rFonts w:ascii="Arial" w:hAnsi="Arial" w:cs="Arial"/>
          <w:color w:val="343434"/>
          <w:sz w:val="23"/>
          <w:szCs w:val="23"/>
        </w:rPr>
        <w:t xml:space="preserve"> 551-564 Published Online First: 11 February 2013 doi:10.1136/thoraxjnl-2012-202297(3) National Institute for Health and Clinical Excellence. “The diagnosis and treatment of lung cancer (update)”. NICE 2011. </w:t>
      </w:r>
      <w:hyperlink r:id="rId5" w:tgtFrame="_blank" w:history="1">
        <w:r>
          <w:rPr>
            <w:rStyle w:val="Hyperlink"/>
            <w:rFonts w:ascii="Arial" w:hAnsi="Arial" w:cs="Arial"/>
            <w:color w:val="007CBE"/>
            <w:sz w:val="23"/>
            <w:szCs w:val="23"/>
          </w:rPr>
          <w:t>http://guidance.nice.org.uk/cg121</w:t>
        </w:r>
      </w:hyperlink>
      <w:r>
        <w:rPr>
          <w:rFonts w:ascii="Arial" w:hAnsi="Arial" w:cs="Arial"/>
          <w:color w:val="343434"/>
          <w:sz w:val="23"/>
          <w:szCs w:val="23"/>
        </w:rPr>
        <w:t xml:space="preserve">(4) Saunders M, </w:t>
      </w:r>
      <w:proofErr w:type="spellStart"/>
      <w:r>
        <w:rPr>
          <w:rFonts w:ascii="Arial" w:hAnsi="Arial" w:cs="Arial"/>
          <w:color w:val="343434"/>
          <w:sz w:val="23"/>
          <w:szCs w:val="23"/>
        </w:rPr>
        <w:t>Dische</w:t>
      </w:r>
      <w:proofErr w:type="spellEnd"/>
      <w:r>
        <w:rPr>
          <w:rFonts w:ascii="Arial" w:hAnsi="Arial" w:cs="Arial"/>
          <w:color w:val="343434"/>
          <w:sz w:val="23"/>
          <w:szCs w:val="23"/>
        </w:rPr>
        <w:t xml:space="preserve"> S, Barrett A, Harvey A, Griffiths G, Parmar M. Continuous, </w:t>
      </w:r>
      <w:proofErr w:type="spellStart"/>
      <w:r>
        <w:rPr>
          <w:rFonts w:ascii="Arial" w:hAnsi="Arial" w:cs="Arial"/>
          <w:color w:val="343434"/>
          <w:sz w:val="23"/>
          <w:szCs w:val="23"/>
        </w:rPr>
        <w:t>hyperfractionated</w:t>
      </w:r>
      <w:proofErr w:type="spellEnd"/>
      <w:r>
        <w:rPr>
          <w:rFonts w:ascii="Arial" w:hAnsi="Arial" w:cs="Arial"/>
          <w:color w:val="343434"/>
          <w:sz w:val="23"/>
          <w:szCs w:val="23"/>
        </w:rPr>
        <w:t>, accelerated radiotherapy (CHART) versus conventional radiotherapy in non-small cell lung cancer: mature data from the randomised multicentre trial. Radiotherapy and Oncology 1999;52(2):137-</w:t>
      </w:r>
      <w:proofErr w:type="gramStart"/>
      <w:r>
        <w:rPr>
          <w:rFonts w:ascii="Arial" w:hAnsi="Arial" w:cs="Arial"/>
          <w:color w:val="343434"/>
          <w:sz w:val="23"/>
          <w:szCs w:val="23"/>
        </w:rPr>
        <w:t>148.(</w:t>
      </w:r>
      <w:proofErr w:type="gramEnd"/>
      <w:r>
        <w:rPr>
          <w:rFonts w:ascii="Arial" w:hAnsi="Arial" w:cs="Arial"/>
          <w:color w:val="343434"/>
          <w:sz w:val="23"/>
          <w:szCs w:val="23"/>
        </w:rPr>
        <w:t xml:space="preserve">5) Senan S, </w:t>
      </w:r>
      <w:proofErr w:type="spellStart"/>
      <w:r>
        <w:rPr>
          <w:rFonts w:ascii="Arial" w:hAnsi="Arial" w:cs="Arial"/>
          <w:color w:val="343434"/>
          <w:sz w:val="23"/>
          <w:szCs w:val="23"/>
        </w:rPr>
        <w:t>Lagerwaard</w:t>
      </w:r>
      <w:proofErr w:type="spellEnd"/>
      <w:r>
        <w:rPr>
          <w:rFonts w:ascii="Arial" w:hAnsi="Arial" w:cs="Arial"/>
          <w:color w:val="343434"/>
          <w:sz w:val="23"/>
          <w:szCs w:val="23"/>
        </w:rPr>
        <w:t xml:space="preserve"> F. Stereotactic radiotherapy for stage I lung cancer: Current results and new developments. Cancer/</w:t>
      </w:r>
      <w:proofErr w:type="spellStart"/>
      <w:r>
        <w:rPr>
          <w:rFonts w:ascii="Arial" w:hAnsi="Arial" w:cs="Arial"/>
          <w:color w:val="343434"/>
          <w:sz w:val="23"/>
          <w:szCs w:val="23"/>
        </w:rPr>
        <w:t>Radiothérapie</w:t>
      </w:r>
      <w:proofErr w:type="spellEnd"/>
      <w:r>
        <w:rPr>
          <w:rFonts w:ascii="Arial" w:hAnsi="Arial" w:cs="Arial"/>
          <w:color w:val="343434"/>
          <w:sz w:val="23"/>
          <w:szCs w:val="23"/>
        </w:rPr>
        <w:t xml:space="preserve"> 2010;14(2):115-</w:t>
      </w:r>
      <w:proofErr w:type="gramStart"/>
      <w:r>
        <w:rPr>
          <w:rFonts w:ascii="Arial" w:hAnsi="Arial" w:cs="Arial"/>
          <w:color w:val="343434"/>
          <w:sz w:val="23"/>
          <w:szCs w:val="23"/>
        </w:rPr>
        <w:t>118.(</w:t>
      </w:r>
      <w:proofErr w:type="gramEnd"/>
      <w:r>
        <w:rPr>
          <w:rFonts w:ascii="Arial" w:hAnsi="Arial" w:cs="Arial"/>
          <w:color w:val="343434"/>
          <w:sz w:val="23"/>
          <w:szCs w:val="23"/>
        </w:rPr>
        <w:t>6) Stereotactic Ablative Body Radiation Therapy (SABR): A Resource. SABR Consortium April 2011.</w:t>
      </w:r>
    </w:p>
    <w:p w14:paraId="16EA5FFF"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87183AB" w14:textId="77777777" w:rsidR="0067041C" w:rsidRDefault="0067041C" w:rsidP="0067041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results of a national RCR audit of radical lung radiotherapy will be available in 2014 which should allow centres to compare </w:t>
      </w:r>
      <w:proofErr w:type="gramStart"/>
      <w:r>
        <w:rPr>
          <w:rFonts w:ascii="Arial" w:hAnsi="Arial" w:cs="Arial"/>
          <w:color w:val="343434"/>
          <w:sz w:val="23"/>
          <w:szCs w:val="23"/>
        </w:rPr>
        <w:t>practice</w:t>
      </w:r>
      <w:proofErr w:type="gramEnd"/>
    </w:p>
    <w:p w14:paraId="75D4FC47" w14:textId="77777777" w:rsidR="0067041C" w:rsidRDefault="0067041C" w:rsidP="0067041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6DF22BD" w14:textId="77777777" w:rsidR="0067041C" w:rsidRDefault="0067041C" w:rsidP="0067041C">
      <w:pPr>
        <w:shd w:val="clear" w:color="auto" w:fill="FFFFFF"/>
        <w:rPr>
          <w:rFonts w:ascii="Arial" w:hAnsi="Arial" w:cs="Arial"/>
          <w:color w:val="343434"/>
          <w:sz w:val="23"/>
          <w:szCs w:val="23"/>
        </w:rPr>
      </w:pPr>
      <w:r>
        <w:rPr>
          <w:rFonts w:ascii="Arial" w:hAnsi="Arial" w:cs="Arial"/>
          <w:color w:val="343434"/>
          <w:sz w:val="23"/>
          <w:szCs w:val="23"/>
        </w:rPr>
        <w:lastRenderedPageBreak/>
        <w:t>Dr Paula Hunt (nee McCloskey)</w:t>
      </w:r>
    </w:p>
    <w:p w14:paraId="3944525A"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D180830" w14:textId="77777777" w:rsidR="0067041C" w:rsidRDefault="0067041C" w:rsidP="0067041C">
      <w:pPr>
        <w:shd w:val="clear" w:color="auto" w:fill="FFFFFF"/>
        <w:rPr>
          <w:rFonts w:ascii="Arial" w:hAnsi="Arial" w:cs="Arial"/>
          <w:color w:val="343434"/>
          <w:sz w:val="23"/>
          <w:szCs w:val="23"/>
        </w:rPr>
      </w:pPr>
      <w:r>
        <w:rPr>
          <w:rStyle w:val="date-display-single"/>
          <w:rFonts w:ascii="Arial" w:hAnsi="Arial" w:cs="Arial"/>
          <w:color w:val="343434"/>
          <w:sz w:val="23"/>
          <w:szCs w:val="23"/>
        </w:rPr>
        <w:t>Tuesday 10 September 2013</w:t>
      </w:r>
    </w:p>
    <w:p w14:paraId="6DFEC378" w14:textId="77777777" w:rsidR="0067041C" w:rsidRDefault="0067041C" w:rsidP="0067041C">
      <w:pPr>
        <w:rPr>
          <w:rFonts w:ascii="Times New Roman" w:hAnsi="Times New Roman" w:cs="Times New Roman"/>
          <w:sz w:val="24"/>
          <w:szCs w:val="24"/>
        </w:rPr>
      </w:pPr>
    </w:p>
    <w:p w14:paraId="619DCEF9" w14:textId="77777777" w:rsidR="0067041C" w:rsidRDefault="0067041C" w:rsidP="0067041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E1A1460" w14:textId="77777777" w:rsidR="0067041C" w:rsidRDefault="0067041C" w:rsidP="0067041C">
      <w:pPr>
        <w:shd w:val="clear" w:color="auto" w:fill="FFFFFF"/>
        <w:rPr>
          <w:rFonts w:ascii="Arial" w:hAnsi="Arial" w:cs="Arial"/>
          <w:color w:val="343434"/>
          <w:sz w:val="23"/>
          <w:szCs w:val="23"/>
        </w:rPr>
      </w:pPr>
      <w:r>
        <w:rPr>
          <w:rStyle w:val="date-display-single"/>
          <w:rFonts w:ascii="Arial" w:hAnsi="Arial" w:cs="Arial"/>
          <w:color w:val="343434"/>
          <w:sz w:val="23"/>
          <w:szCs w:val="23"/>
        </w:rPr>
        <w:t>Tuesday 1 March 2022</w:t>
      </w:r>
    </w:p>
    <w:p w14:paraId="7C0A2111" w14:textId="34ED39EF" w:rsidR="000D3E1E" w:rsidRDefault="000D3E1E" w:rsidP="0067041C">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E16B1"/>
    <w:multiLevelType w:val="multilevel"/>
    <w:tmpl w:val="9704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71377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67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946">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28645282">
      <w:bodyDiv w:val="1"/>
      <w:marLeft w:val="0"/>
      <w:marRight w:val="0"/>
      <w:marTop w:val="0"/>
      <w:marBottom w:val="0"/>
      <w:divBdr>
        <w:top w:val="none" w:sz="0" w:space="0" w:color="auto"/>
        <w:left w:val="none" w:sz="0" w:space="0" w:color="auto"/>
        <w:bottom w:val="none" w:sz="0" w:space="0" w:color="auto"/>
        <w:right w:val="none" w:sz="0" w:space="0" w:color="auto"/>
      </w:divBdr>
      <w:divsChild>
        <w:div w:id="1694258631">
          <w:marLeft w:val="0"/>
          <w:marRight w:val="0"/>
          <w:marTop w:val="0"/>
          <w:marBottom w:val="480"/>
          <w:divBdr>
            <w:top w:val="none" w:sz="0" w:space="0" w:color="auto"/>
            <w:left w:val="none" w:sz="0" w:space="0" w:color="auto"/>
            <w:bottom w:val="none" w:sz="0" w:space="0" w:color="auto"/>
            <w:right w:val="none" w:sz="0" w:space="0" w:color="auto"/>
          </w:divBdr>
          <w:divsChild>
            <w:div w:id="913319857">
              <w:marLeft w:val="0"/>
              <w:marRight w:val="0"/>
              <w:marTop w:val="0"/>
              <w:marBottom w:val="0"/>
              <w:divBdr>
                <w:top w:val="none" w:sz="0" w:space="0" w:color="auto"/>
                <w:left w:val="none" w:sz="0" w:space="0" w:color="auto"/>
                <w:bottom w:val="none" w:sz="0" w:space="0" w:color="auto"/>
                <w:right w:val="none" w:sz="0" w:space="0" w:color="auto"/>
              </w:divBdr>
            </w:div>
            <w:div w:id="712190838">
              <w:marLeft w:val="0"/>
              <w:marRight w:val="0"/>
              <w:marTop w:val="0"/>
              <w:marBottom w:val="0"/>
              <w:divBdr>
                <w:top w:val="none" w:sz="0" w:space="0" w:color="auto"/>
                <w:left w:val="none" w:sz="0" w:space="0" w:color="auto"/>
                <w:bottom w:val="none" w:sz="0" w:space="0" w:color="auto"/>
                <w:right w:val="none" w:sz="0" w:space="0" w:color="auto"/>
              </w:divBdr>
              <w:divsChild>
                <w:div w:id="13601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4949">
          <w:marLeft w:val="0"/>
          <w:marRight w:val="0"/>
          <w:marTop w:val="0"/>
          <w:marBottom w:val="480"/>
          <w:divBdr>
            <w:top w:val="none" w:sz="0" w:space="0" w:color="auto"/>
            <w:left w:val="none" w:sz="0" w:space="0" w:color="auto"/>
            <w:bottom w:val="none" w:sz="0" w:space="0" w:color="auto"/>
            <w:right w:val="none" w:sz="0" w:space="0" w:color="auto"/>
          </w:divBdr>
          <w:divsChild>
            <w:div w:id="1544294184">
              <w:marLeft w:val="0"/>
              <w:marRight w:val="0"/>
              <w:marTop w:val="0"/>
              <w:marBottom w:val="0"/>
              <w:divBdr>
                <w:top w:val="none" w:sz="0" w:space="0" w:color="auto"/>
                <w:left w:val="none" w:sz="0" w:space="0" w:color="auto"/>
                <w:bottom w:val="none" w:sz="0" w:space="0" w:color="auto"/>
                <w:right w:val="none" w:sz="0" w:space="0" w:color="auto"/>
              </w:divBdr>
            </w:div>
            <w:div w:id="2006518545">
              <w:marLeft w:val="0"/>
              <w:marRight w:val="0"/>
              <w:marTop w:val="0"/>
              <w:marBottom w:val="0"/>
              <w:divBdr>
                <w:top w:val="none" w:sz="0" w:space="0" w:color="auto"/>
                <w:left w:val="none" w:sz="0" w:space="0" w:color="auto"/>
                <w:bottom w:val="none" w:sz="0" w:space="0" w:color="auto"/>
                <w:right w:val="none" w:sz="0" w:space="0" w:color="auto"/>
              </w:divBdr>
              <w:divsChild>
                <w:div w:id="18007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4653">
          <w:marLeft w:val="0"/>
          <w:marRight w:val="0"/>
          <w:marTop w:val="0"/>
          <w:marBottom w:val="0"/>
          <w:divBdr>
            <w:top w:val="none" w:sz="0" w:space="0" w:color="auto"/>
            <w:left w:val="none" w:sz="0" w:space="0" w:color="auto"/>
            <w:bottom w:val="none" w:sz="0" w:space="0" w:color="auto"/>
            <w:right w:val="none" w:sz="0" w:space="0" w:color="auto"/>
          </w:divBdr>
          <w:divsChild>
            <w:div w:id="948202420">
              <w:marLeft w:val="0"/>
              <w:marRight w:val="0"/>
              <w:marTop w:val="0"/>
              <w:marBottom w:val="0"/>
              <w:divBdr>
                <w:top w:val="none" w:sz="0" w:space="0" w:color="auto"/>
                <w:left w:val="none" w:sz="0" w:space="0" w:color="auto"/>
                <w:bottom w:val="none" w:sz="0" w:space="0" w:color="auto"/>
                <w:right w:val="none" w:sz="0" w:space="0" w:color="auto"/>
              </w:divBdr>
            </w:div>
            <w:div w:id="840775719">
              <w:marLeft w:val="0"/>
              <w:marRight w:val="0"/>
              <w:marTop w:val="0"/>
              <w:marBottom w:val="0"/>
              <w:divBdr>
                <w:top w:val="none" w:sz="0" w:space="0" w:color="auto"/>
                <w:left w:val="none" w:sz="0" w:space="0" w:color="auto"/>
                <w:bottom w:val="none" w:sz="0" w:space="0" w:color="auto"/>
                <w:right w:val="none" w:sz="0" w:space="0" w:color="auto"/>
              </w:divBdr>
              <w:divsChild>
                <w:div w:id="2082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847">
          <w:marLeft w:val="0"/>
          <w:marRight w:val="0"/>
          <w:marTop w:val="0"/>
          <w:marBottom w:val="0"/>
          <w:divBdr>
            <w:top w:val="none" w:sz="0" w:space="0" w:color="auto"/>
            <w:left w:val="none" w:sz="0" w:space="0" w:color="auto"/>
            <w:bottom w:val="none" w:sz="0" w:space="0" w:color="auto"/>
            <w:right w:val="none" w:sz="0" w:space="0" w:color="auto"/>
          </w:divBdr>
          <w:divsChild>
            <w:div w:id="218522750">
              <w:marLeft w:val="0"/>
              <w:marRight w:val="0"/>
              <w:marTop w:val="0"/>
              <w:marBottom w:val="0"/>
              <w:divBdr>
                <w:top w:val="none" w:sz="0" w:space="0" w:color="auto"/>
                <w:left w:val="none" w:sz="0" w:space="0" w:color="auto"/>
                <w:bottom w:val="none" w:sz="0" w:space="0" w:color="auto"/>
                <w:right w:val="none" w:sz="0" w:space="0" w:color="auto"/>
              </w:divBdr>
            </w:div>
            <w:div w:id="645625306">
              <w:marLeft w:val="0"/>
              <w:marRight w:val="0"/>
              <w:marTop w:val="0"/>
              <w:marBottom w:val="0"/>
              <w:divBdr>
                <w:top w:val="none" w:sz="0" w:space="0" w:color="auto"/>
                <w:left w:val="none" w:sz="0" w:space="0" w:color="auto"/>
                <w:bottom w:val="none" w:sz="0" w:space="0" w:color="auto"/>
                <w:right w:val="none" w:sz="0" w:space="0" w:color="auto"/>
              </w:divBdr>
              <w:divsChild>
                <w:div w:id="1360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9205">
          <w:marLeft w:val="0"/>
          <w:marRight w:val="0"/>
          <w:marTop w:val="0"/>
          <w:marBottom w:val="0"/>
          <w:divBdr>
            <w:top w:val="none" w:sz="0" w:space="0" w:color="auto"/>
            <w:left w:val="none" w:sz="0" w:space="0" w:color="auto"/>
            <w:bottom w:val="none" w:sz="0" w:space="0" w:color="auto"/>
            <w:right w:val="none" w:sz="0" w:space="0" w:color="auto"/>
          </w:divBdr>
          <w:divsChild>
            <w:div w:id="409735824">
              <w:marLeft w:val="0"/>
              <w:marRight w:val="0"/>
              <w:marTop w:val="0"/>
              <w:marBottom w:val="0"/>
              <w:divBdr>
                <w:top w:val="none" w:sz="0" w:space="0" w:color="auto"/>
                <w:left w:val="none" w:sz="0" w:space="0" w:color="auto"/>
                <w:bottom w:val="none" w:sz="0" w:space="0" w:color="auto"/>
                <w:right w:val="none" w:sz="0" w:space="0" w:color="auto"/>
              </w:divBdr>
            </w:div>
            <w:div w:id="1718359913">
              <w:marLeft w:val="0"/>
              <w:marRight w:val="0"/>
              <w:marTop w:val="0"/>
              <w:marBottom w:val="0"/>
              <w:divBdr>
                <w:top w:val="none" w:sz="0" w:space="0" w:color="auto"/>
                <w:left w:val="none" w:sz="0" w:space="0" w:color="auto"/>
                <w:bottom w:val="none" w:sz="0" w:space="0" w:color="auto"/>
                <w:right w:val="none" w:sz="0" w:space="0" w:color="auto"/>
              </w:divBdr>
              <w:divsChild>
                <w:div w:id="8257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88">
          <w:marLeft w:val="0"/>
          <w:marRight w:val="0"/>
          <w:marTop w:val="0"/>
          <w:marBottom w:val="0"/>
          <w:divBdr>
            <w:top w:val="none" w:sz="0" w:space="0" w:color="auto"/>
            <w:left w:val="none" w:sz="0" w:space="0" w:color="auto"/>
            <w:bottom w:val="none" w:sz="0" w:space="0" w:color="auto"/>
            <w:right w:val="none" w:sz="0" w:space="0" w:color="auto"/>
          </w:divBdr>
          <w:divsChild>
            <w:div w:id="1582720732">
              <w:marLeft w:val="0"/>
              <w:marRight w:val="0"/>
              <w:marTop w:val="0"/>
              <w:marBottom w:val="0"/>
              <w:divBdr>
                <w:top w:val="none" w:sz="0" w:space="0" w:color="auto"/>
                <w:left w:val="none" w:sz="0" w:space="0" w:color="auto"/>
                <w:bottom w:val="none" w:sz="0" w:space="0" w:color="auto"/>
                <w:right w:val="none" w:sz="0" w:space="0" w:color="auto"/>
              </w:divBdr>
            </w:div>
            <w:div w:id="881017907">
              <w:marLeft w:val="0"/>
              <w:marRight w:val="0"/>
              <w:marTop w:val="0"/>
              <w:marBottom w:val="0"/>
              <w:divBdr>
                <w:top w:val="none" w:sz="0" w:space="0" w:color="auto"/>
                <w:left w:val="none" w:sz="0" w:space="0" w:color="auto"/>
                <w:bottom w:val="none" w:sz="0" w:space="0" w:color="auto"/>
                <w:right w:val="none" w:sz="0" w:space="0" w:color="auto"/>
              </w:divBdr>
              <w:divsChild>
                <w:div w:id="490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6062">
          <w:marLeft w:val="0"/>
          <w:marRight w:val="0"/>
          <w:marTop w:val="0"/>
          <w:marBottom w:val="0"/>
          <w:divBdr>
            <w:top w:val="none" w:sz="0" w:space="0" w:color="auto"/>
            <w:left w:val="none" w:sz="0" w:space="0" w:color="auto"/>
            <w:bottom w:val="none" w:sz="0" w:space="0" w:color="auto"/>
            <w:right w:val="none" w:sz="0" w:space="0" w:color="auto"/>
          </w:divBdr>
          <w:divsChild>
            <w:div w:id="1911380235">
              <w:marLeft w:val="0"/>
              <w:marRight w:val="0"/>
              <w:marTop w:val="0"/>
              <w:marBottom w:val="0"/>
              <w:divBdr>
                <w:top w:val="none" w:sz="0" w:space="0" w:color="auto"/>
                <w:left w:val="none" w:sz="0" w:space="0" w:color="auto"/>
                <w:bottom w:val="none" w:sz="0" w:space="0" w:color="auto"/>
                <w:right w:val="none" w:sz="0" w:space="0" w:color="auto"/>
              </w:divBdr>
            </w:div>
            <w:div w:id="1282032176">
              <w:marLeft w:val="0"/>
              <w:marRight w:val="0"/>
              <w:marTop w:val="0"/>
              <w:marBottom w:val="0"/>
              <w:divBdr>
                <w:top w:val="none" w:sz="0" w:space="0" w:color="auto"/>
                <w:left w:val="none" w:sz="0" w:space="0" w:color="auto"/>
                <w:bottom w:val="none" w:sz="0" w:space="0" w:color="auto"/>
                <w:right w:val="none" w:sz="0" w:space="0" w:color="auto"/>
              </w:divBdr>
              <w:divsChild>
                <w:div w:id="4577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0986">
          <w:marLeft w:val="0"/>
          <w:marRight w:val="0"/>
          <w:marTop w:val="0"/>
          <w:marBottom w:val="480"/>
          <w:divBdr>
            <w:top w:val="none" w:sz="0" w:space="0" w:color="auto"/>
            <w:left w:val="none" w:sz="0" w:space="0" w:color="auto"/>
            <w:bottom w:val="none" w:sz="0" w:space="0" w:color="auto"/>
            <w:right w:val="none" w:sz="0" w:space="0" w:color="auto"/>
          </w:divBdr>
          <w:divsChild>
            <w:div w:id="780687681">
              <w:marLeft w:val="0"/>
              <w:marRight w:val="0"/>
              <w:marTop w:val="0"/>
              <w:marBottom w:val="0"/>
              <w:divBdr>
                <w:top w:val="none" w:sz="0" w:space="0" w:color="auto"/>
                <w:left w:val="none" w:sz="0" w:space="0" w:color="auto"/>
                <w:bottom w:val="none" w:sz="0" w:space="0" w:color="auto"/>
                <w:right w:val="none" w:sz="0" w:space="0" w:color="auto"/>
              </w:divBdr>
            </w:div>
            <w:div w:id="27998211">
              <w:marLeft w:val="0"/>
              <w:marRight w:val="0"/>
              <w:marTop w:val="0"/>
              <w:marBottom w:val="0"/>
              <w:divBdr>
                <w:top w:val="none" w:sz="0" w:space="0" w:color="auto"/>
                <w:left w:val="none" w:sz="0" w:space="0" w:color="auto"/>
                <w:bottom w:val="none" w:sz="0" w:space="0" w:color="auto"/>
                <w:right w:val="none" w:sz="0" w:space="0" w:color="auto"/>
              </w:divBdr>
              <w:divsChild>
                <w:div w:id="787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935">
          <w:marLeft w:val="0"/>
          <w:marRight w:val="0"/>
          <w:marTop w:val="0"/>
          <w:marBottom w:val="480"/>
          <w:divBdr>
            <w:top w:val="none" w:sz="0" w:space="0" w:color="auto"/>
            <w:left w:val="none" w:sz="0" w:space="0" w:color="auto"/>
            <w:bottom w:val="none" w:sz="0" w:space="0" w:color="auto"/>
            <w:right w:val="none" w:sz="0" w:space="0" w:color="auto"/>
          </w:divBdr>
          <w:divsChild>
            <w:div w:id="1732776603">
              <w:marLeft w:val="0"/>
              <w:marRight w:val="0"/>
              <w:marTop w:val="0"/>
              <w:marBottom w:val="0"/>
              <w:divBdr>
                <w:top w:val="none" w:sz="0" w:space="0" w:color="auto"/>
                <w:left w:val="none" w:sz="0" w:space="0" w:color="auto"/>
                <w:bottom w:val="none" w:sz="0" w:space="0" w:color="auto"/>
                <w:right w:val="none" w:sz="0" w:space="0" w:color="auto"/>
              </w:divBdr>
            </w:div>
            <w:div w:id="591402698">
              <w:marLeft w:val="0"/>
              <w:marRight w:val="0"/>
              <w:marTop w:val="0"/>
              <w:marBottom w:val="0"/>
              <w:divBdr>
                <w:top w:val="none" w:sz="0" w:space="0" w:color="auto"/>
                <w:left w:val="none" w:sz="0" w:space="0" w:color="auto"/>
                <w:bottom w:val="none" w:sz="0" w:space="0" w:color="auto"/>
                <w:right w:val="none" w:sz="0" w:space="0" w:color="auto"/>
              </w:divBdr>
              <w:divsChild>
                <w:div w:id="11056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645">
          <w:marLeft w:val="0"/>
          <w:marRight w:val="0"/>
          <w:marTop w:val="0"/>
          <w:marBottom w:val="480"/>
          <w:divBdr>
            <w:top w:val="none" w:sz="0" w:space="0" w:color="auto"/>
            <w:left w:val="none" w:sz="0" w:space="0" w:color="auto"/>
            <w:bottom w:val="none" w:sz="0" w:space="0" w:color="auto"/>
            <w:right w:val="none" w:sz="0" w:space="0" w:color="auto"/>
          </w:divBdr>
          <w:divsChild>
            <w:div w:id="775910940">
              <w:marLeft w:val="0"/>
              <w:marRight w:val="0"/>
              <w:marTop w:val="0"/>
              <w:marBottom w:val="0"/>
              <w:divBdr>
                <w:top w:val="none" w:sz="0" w:space="0" w:color="auto"/>
                <w:left w:val="none" w:sz="0" w:space="0" w:color="auto"/>
                <w:bottom w:val="none" w:sz="0" w:space="0" w:color="auto"/>
                <w:right w:val="none" w:sz="0" w:space="0" w:color="auto"/>
              </w:divBdr>
            </w:div>
            <w:div w:id="2108427221">
              <w:marLeft w:val="0"/>
              <w:marRight w:val="0"/>
              <w:marTop w:val="0"/>
              <w:marBottom w:val="0"/>
              <w:divBdr>
                <w:top w:val="none" w:sz="0" w:space="0" w:color="auto"/>
                <w:left w:val="none" w:sz="0" w:space="0" w:color="auto"/>
                <w:bottom w:val="none" w:sz="0" w:space="0" w:color="auto"/>
                <w:right w:val="none" w:sz="0" w:space="0" w:color="auto"/>
              </w:divBdr>
              <w:divsChild>
                <w:div w:id="14853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735">
          <w:marLeft w:val="0"/>
          <w:marRight w:val="0"/>
          <w:marTop w:val="0"/>
          <w:marBottom w:val="480"/>
          <w:divBdr>
            <w:top w:val="none" w:sz="0" w:space="0" w:color="auto"/>
            <w:left w:val="none" w:sz="0" w:space="0" w:color="auto"/>
            <w:bottom w:val="none" w:sz="0" w:space="0" w:color="auto"/>
            <w:right w:val="none" w:sz="0" w:space="0" w:color="auto"/>
          </w:divBdr>
          <w:divsChild>
            <w:div w:id="522868032">
              <w:marLeft w:val="0"/>
              <w:marRight w:val="0"/>
              <w:marTop w:val="0"/>
              <w:marBottom w:val="0"/>
              <w:divBdr>
                <w:top w:val="none" w:sz="0" w:space="0" w:color="auto"/>
                <w:left w:val="none" w:sz="0" w:space="0" w:color="auto"/>
                <w:bottom w:val="none" w:sz="0" w:space="0" w:color="auto"/>
                <w:right w:val="none" w:sz="0" w:space="0" w:color="auto"/>
              </w:divBdr>
            </w:div>
            <w:div w:id="1875146842">
              <w:marLeft w:val="0"/>
              <w:marRight w:val="0"/>
              <w:marTop w:val="0"/>
              <w:marBottom w:val="0"/>
              <w:divBdr>
                <w:top w:val="none" w:sz="0" w:space="0" w:color="auto"/>
                <w:left w:val="none" w:sz="0" w:space="0" w:color="auto"/>
                <w:bottom w:val="none" w:sz="0" w:space="0" w:color="auto"/>
                <w:right w:val="none" w:sz="0" w:space="0" w:color="auto"/>
              </w:divBdr>
              <w:divsChild>
                <w:div w:id="194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1261">
          <w:marLeft w:val="0"/>
          <w:marRight w:val="0"/>
          <w:marTop w:val="0"/>
          <w:marBottom w:val="480"/>
          <w:divBdr>
            <w:top w:val="none" w:sz="0" w:space="0" w:color="auto"/>
            <w:left w:val="none" w:sz="0" w:space="0" w:color="auto"/>
            <w:bottom w:val="none" w:sz="0" w:space="0" w:color="auto"/>
            <w:right w:val="none" w:sz="0" w:space="0" w:color="auto"/>
          </w:divBdr>
          <w:divsChild>
            <w:div w:id="1266117492">
              <w:marLeft w:val="0"/>
              <w:marRight w:val="0"/>
              <w:marTop w:val="0"/>
              <w:marBottom w:val="0"/>
              <w:divBdr>
                <w:top w:val="none" w:sz="0" w:space="0" w:color="auto"/>
                <w:left w:val="none" w:sz="0" w:space="0" w:color="auto"/>
                <w:bottom w:val="none" w:sz="0" w:space="0" w:color="auto"/>
                <w:right w:val="none" w:sz="0" w:space="0" w:color="auto"/>
              </w:divBdr>
            </w:div>
            <w:div w:id="567883497">
              <w:marLeft w:val="0"/>
              <w:marRight w:val="0"/>
              <w:marTop w:val="0"/>
              <w:marBottom w:val="0"/>
              <w:divBdr>
                <w:top w:val="none" w:sz="0" w:space="0" w:color="auto"/>
                <w:left w:val="none" w:sz="0" w:space="0" w:color="auto"/>
                <w:bottom w:val="none" w:sz="0" w:space="0" w:color="auto"/>
                <w:right w:val="none" w:sz="0" w:space="0" w:color="auto"/>
              </w:divBdr>
              <w:divsChild>
                <w:div w:id="16809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618">
          <w:marLeft w:val="0"/>
          <w:marRight w:val="0"/>
          <w:marTop w:val="0"/>
          <w:marBottom w:val="0"/>
          <w:divBdr>
            <w:top w:val="none" w:sz="0" w:space="0" w:color="auto"/>
            <w:left w:val="none" w:sz="0" w:space="0" w:color="auto"/>
            <w:bottom w:val="none" w:sz="0" w:space="0" w:color="auto"/>
            <w:right w:val="none" w:sz="0" w:space="0" w:color="auto"/>
          </w:divBdr>
          <w:divsChild>
            <w:div w:id="759644114">
              <w:marLeft w:val="0"/>
              <w:marRight w:val="0"/>
              <w:marTop w:val="0"/>
              <w:marBottom w:val="0"/>
              <w:divBdr>
                <w:top w:val="none" w:sz="0" w:space="0" w:color="auto"/>
                <w:left w:val="none" w:sz="0" w:space="0" w:color="auto"/>
                <w:bottom w:val="none" w:sz="0" w:space="0" w:color="auto"/>
                <w:right w:val="none" w:sz="0" w:space="0" w:color="auto"/>
              </w:divBdr>
            </w:div>
            <w:div w:id="844593929">
              <w:marLeft w:val="0"/>
              <w:marRight w:val="0"/>
              <w:marTop w:val="0"/>
              <w:marBottom w:val="0"/>
              <w:divBdr>
                <w:top w:val="none" w:sz="0" w:space="0" w:color="auto"/>
                <w:left w:val="none" w:sz="0" w:space="0" w:color="auto"/>
                <w:bottom w:val="none" w:sz="0" w:space="0" w:color="auto"/>
                <w:right w:val="none" w:sz="0" w:space="0" w:color="auto"/>
              </w:divBdr>
              <w:divsChild>
                <w:div w:id="21425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4108">
          <w:marLeft w:val="0"/>
          <w:marRight w:val="0"/>
          <w:marTop w:val="0"/>
          <w:marBottom w:val="0"/>
          <w:divBdr>
            <w:top w:val="none" w:sz="0" w:space="0" w:color="auto"/>
            <w:left w:val="none" w:sz="0" w:space="0" w:color="auto"/>
            <w:bottom w:val="none" w:sz="0" w:space="0" w:color="auto"/>
            <w:right w:val="none" w:sz="0" w:space="0" w:color="auto"/>
          </w:divBdr>
          <w:divsChild>
            <w:div w:id="154416703">
              <w:marLeft w:val="0"/>
              <w:marRight w:val="0"/>
              <w:marTop w:val="0"/>
              <w:marBottom w:val="0"/>
              <w:divBdr>
                <w:top w:val="none" w:sz="0" w:space="0" w:color="auto"/>
                <w:left w:val="none" w:sz="0" w:space="0" w:color="auto"/>
                <w:bottom w:val="none" w:sz="0" w:space="0" w:color="auto"/>
                <w:right w:val="none" w:sz="0" w:space="0" w:color="auto"/>
              </w:divBdr>
            </w:div>
            <w:div w:id="46415143">
              <w:marLeft w:val="0"/>
              <w:marRight w:val="0"/>
              <w:marTop w:val="0"/>
              <w:marBottom w:val="0"/>
              <w:divBdr>
                <w:top w:val="none" w:sz="0" w:space="0" w:color="auto"/>
                <w:left w:val="none" w:sz="0" w:space="0" w:color="auto"/>
                <w:bottom w:val="none" w:sz="0" w:space="0" w:color="auto"/>
                <w:right w:val="none" w:sz="0" w:space="0" w:color="auto"/>
              </w:divBdr>
              <w:divsChild>
                <w:div w:id="4189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idance.nice.org.uk/cg12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4DCC12A1-AEEF-4445-ABBC-DB7B63F7224E}"/>
</file>

<file path=customXml/itemProps2.xml><?xml version="1.0" encoding="utf-8"?>
<ds:datastoreItem xmlns:ds="http://schemas.openxmlformats.org/officeDocument/2006/customXml" ds:itemID="{B987C334-1B5A-475A-AEAB-52177DE143B8}"/>
</file>

<file path=customXml/itemProps3.xml><?xml version="1.0" encoding="utf-8"?>
<ds:datastoreItem xmlns:ds="http://schemas.openxmlformats.org/officeDocument/2006/customXml" ds:itemID="{890EA03D-81BE-4959-8DFF-3A31158C37E3}"/>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