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AED1" w14:textId="77777777" w:rsidR="00360C2E" w:rsidRPr="00360C2E" w:rsidRDefault="00360C2E" w:rsidP="00360C2E">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360C2E">
        <w:rPr>
          <w:rFonts w:ascii="Arial" w:eastAsia="Times New Roman" w:hAnsi="Arial" w:cs="Arial"/>
          <w:b/>
          <w:bCs/>
          <w:color w:val="007CBE"/>
          <w:spacing w:val="-15"/>
          <w:kern w:val="36"/>
          <w:sz w:val="50"/>
          <w:szCs w:val="50"/>
          <w:lang w:eastAsia="en-GB"/>
          <w14:ligatures w14:val="none"/>
        </w:rPr>
        <w:t>Appropriateness of usage of computed tomography pulmonary angiography (CTPA) investigation of suspected pulmonary embolism</w:t>
      </w:r>
    </w:p>
    <w:p w14:paraId="523E34F6" w14:textId="77777777" w:rsidR="00360C2E" w:rsidRDefault="00360C2E" w:rsidP="00360C2E">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3782AB51"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Many departments now use CTPA as the primary imaging technique for assessment of suspected pulmonary embolism. This audit aims to assess, when being used as the primary imaging investigation, whether CTPA is being used appropriately </w:t>
      </w:r>
      <w:proofErr w:type="gramStart"/>
      <w:r>
        <w:rPr>
          <w:rFonts w:ascii="Arial" w:hAnsi="Arial" w:cs="Arial"/>
          <w:color w:val="343434"/>
          <w:sz w:val="23"/>
          <w:szCs w:val="23"/>
        </w:rPr>
        <w:t>and also</w:t>
      </w:r>
      <w:proofErr w:type="gramEnd"/>
      <w:r>
        <w:rPr>
          <w:rFonts w:ascii="Arial" w:hAnsi="Arial" w:cs="Arial"/>
          <w:color w:val="343434"/>
          <w:sz w:val="23"/>
          <w:szCs w:val="23"/>
        </w:rPr>
        <w:t xml:space="preserve"> to look at the diagnostic yield of CTPA scans in terms of pulmonary emboli and alternative diagnoses.</w:t>
      </w:r>
    </w:p>
    <w:p w14:paraId="2AF3161F" w14:textId="77777777" w:rsidR="00360C2E" w:rsidRDefault="00360C2E" w:rsidP="00360C2E">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4AA478FB"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 significant morbidity and mortality </w:t>
      </w:r>
      <w:proofErr w:type="gramStart"/>
      <w:r>
        <w:rPr>
          <w:rFonts w:ascii="Arial" w:hAnsi="Arial" w:cs="Arial"/>
          <w:color w:val="343434"/>
          <w:sz w:val="23"/>
          <w:szCs w:val="23"/>
        </w:rPr>
        <w:t>is</w:t>
      </w:r>
      <w:proofErr w:type="gramEnd"/>
      <w:r>
        <w:rPr>
          <w:rFonts w:ascii="Arial" w:hAnsi="Arial" w:cs="Arial"/>
          <w:color w:val="343434"/>
          <w:sz w:val="23"/>
          <w:szCs w:val="23"/>
        </w:rPr>
        <w:t xml:space="preserve"> associated with pulmonary embolism (PE). The role of diagnostic imaging in PE is being increasingly undertaken by computed tomography pulmonary angiography (CTPA). As documented in the Royal College of Radiologists referral guidelines (Ref. 1), CTPA is the investigation of choice in patients with a high clinical suspicion of pulmonary embolus and in those with pre-existing pulmonary disease.  A normal CTPA result alone has been shown to safely exclude PE in all patients in whom CTPA was requested to rule out this disease (Ref 2). Patients with a good quality negative CTPA do not require further investigation or treatment for PE (Ref 3). Compared with isotope scanning, CTPA is quicker to perform, rarely needs to be followed by other imaging, may provide the correct diagnosis when PE has been excluded, is available in most hospitals, and is easier to arrange urgently out of hours.</w:t>
      </w:r>
    </w:p>
    <w:p w14:paraId="22C2073B" w14:textId="77777777" w:rsidR="00360C2E" w:rsidRDefault="00360C2E" w:rsidP="00360C2E">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089C384E" w14:textId="77777777" w:rsidR="00360C2E" w:rsidRDefault="00360C2E" w:rsidP="00360C2E">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C28C1F4"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CTPA should be used to investigate suspected pulmonary embolism unless contra-indicated or an alternative investigation is indicated according to local guidelines (Ref.1). There should be agreed referral criteria in place including assessing pre-test probability and the use of D-Dimer estimation if there is an unlikely </w:t>
      </w:r>
      <w:proofErr w:type="gramStart"/>
      <w:r>
        <w:rPr>
          <w:rFonts w:ascii="Arial" w:hAnsi="Arial" w:cs="Arial"/>
          <w:color w:val="343434"/>
          <w:sz w:val="23"/>
          <w:szCs w:val="23"/>
        </w:rPr>
        <w:t>two level</w:t>
      </w:r>
      <w:proofErr w:type="gramEnd"/>
      <w:r>
        <w:rPr>
          <w:rFonts w:ascii="Arial" w:hAnsi="Arial" w:cs="Arial"/>
          <w:color w:val="343434"/>
          <w:sz w:val="23"/>
          <w:szCs w:val="23"/>
        </w:rPr>
        <w:t xml:space="preserve"> PE Wells score (Ref 3).</w:t>
      </w:r>
    </w:p>
    <w:p w14:paraId="72A5A1A0"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Referrals should be in line with agreed local protocol for referral.</w:t>
      </w:r>
    </w:p>
    <w:p w14:paraId="57367E38"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According to published studies conducted at regional centres CTPA should detect pulmonary emboli in between 15.4 &amp; 37.4% of patients, with alternate diagnoses noted in up to 56%.</w:t>
      </w:r>
    </w:p>
    <w:p w14:paraId="6095175D" w14:textId="77777777" w:rsidR="00360C2E" w:rsidRDefault="00360C2E" w:rsidP="00360C2E">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2AE2FA3"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1.100%</w:t>
      </w:r>
    </w:p>
    <w:p w14:paraId="7F666CC8"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2.100%</w:t>
      </w:r>
    </w:p>
    <w:p w14:paraId="17683C6E"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Pulmonary emboli in at least 15%, with alternate diagnoses in at least a further 50%.</w:t>
      </w:r>
    </w:p>
    <w:p w14:paraId="14E30089" w14:textId="77777777" w:rsidR="00360C2E" w:rsidRDefault="00360C2E" w:rsidP="00360C2E">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3984090" w14:textId="77777777" w:rsidR="00360C2E" w:rsidRDefault="00360C2E" w:rsidP="00360C2E">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2F1C860"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Existence of local protocol for referral of patients for CTPA.</w:t>
      </w:r>
    </w:p>
    <w:p w14:paraId="70A0F293"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Referral details for all patients who underwent CTPA for a suspected pulmonary embolus.</w:t>
      </w:r>
    </w:p>
    <w:p w14:paraId="6986DA3A"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Percentage of patients undergoing CTPA with:</w:t>
      </w:r>
    </w:p>
    <w:p w14:paraId="756EC167"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confirmed pulmonary embolus</w:t>
      </w:r>
    </w:p>
    <w:p w14:paraId="34FE808F"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 alternative diagnosis</w:t>
      </w:r>
    </w:p>
    <w:p w14:paraId="2296B668"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 no abnormal radiological diagnosis</w:t>
      </w:r>
    </w:p>
    <w:p w14:paraId="0AE08010" w14:textId="77777777" w:rsidR="00360C2E" w:rsidRDefault="00360C2E" w:rsidP="00360C2E">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619D95D7"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List of patients referred for investigation of suspected pulmonary embolism.</w:t>
      </w:r>
    </w:p>
    <w:p w14:paraId="758A4380"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Patient age and gender</w:t>
      </w:r>
    </w:p>
    <w:p w14:paraId="544C8301"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3. Referral source (department and grade of referrer) </w:t>
      </w:r>
      <w:proofErr w:type="gramStart"/>
      <w:r>
        <w:rPr>
          <w:rFonts w:ascii="Arial" w:hAnsi="Arial" w:cs="Arial"/>
          <w:color w:val="343434"/>
          <w:sz w:val="23"/>
          <w:szCs w:val="23"/>
        </w:rPr>
        <w:t>–  see</w:t>
      </w:r>
      <w:proofErr w:type="gramEnd"/>
      <w:r>
        <w:rPr>
          <w:rFonts w:ascii="Arial" w:hAnsi="Arial" w:cs="Arial"/>
          <w:color w:val="343434"/>
          <w:sz w:val="23"/>
          <w:szCs w:val="23"/>
        </w:rPr>
        <w:t xml:space="preserve"> Ref. 4</w:t>
      </w:r>
    </w:p>
    <w:p w14:paraId="164AA0CC"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Clinical referral information and adherence to local protocol</w:t>
      </w:r>
    </w:p>
    <w:p w14:paraId="48076702"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5. </w:t>
      </w:r>
      <w:proofErr w:type="spellStart"/>
      <w:r>
        <w:rPr>
          <w:rFonts w:ascii="Arial" w:hAnsi="Arial" w:cs="Arial"/>
          <w:color w:val="343434"/>
          <w:sz w:val="23"/>
          <w:szCs w:val="23"/>
        </w:rPr>
        <w:t>Preceeding</w:t>
      </w:r>
      <w:proofErr w:type="spellEnd"/>
      <w:r>
        <w:rPr>
          <w:rFonts w:ascii="Arial" w:hAnsi="Arial" w:cs="Arial"/>
          <w:color w:val="343434"/>
          <w:sz w:val="23"/>
          <w:szCs w:val="23"/>
        </w:rPr>
        <w:t xml:space="preserve"> CXR result</w:t>
      </w:r>
    </w:p>
    <w:p w14:paraId="5F079AB5"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D-dimer result if done</w:t>
      </w:r>
    </w:p>
    <w:p w14:paraId="41C6E992"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 Positive findings of CTPA scan</w:t>
      </w:r>
    </w:p>
    <w:p w14:paraId="06FB5B63"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8. Alternative diagnoses</w:t>
      </w:r>
    </w:p>
    <w:p w14:paraId="73ED942B" w14:textId="77777777" w:rsidR="00360C2E" w:rsidRDefault="00360C2E" w:rsidP="00360C2E">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C5A2017"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 consecutive CTPA examinations depending on departmental size.</w:t>
      </w:r>
    </w:p>
    <w:p w14:paraId="288E16E8" w14:textId="77777777" w:rsidR="00360C2E" w:rsidRDefault="00360C2E" w:rsidP="00360C2E">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6E118231"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If the percentage of patients with a diagnosis of PE or other abnormality is below or significantly above the target range, discussions with fellow radiologists and referring clinicians is recommended to develop or refine referral guidelines for suspected pulmonary embolus.2. To reduce number of negative CTPA examinations in those without a history of trauma, recent </w:t>
      </w:r>
      <w:proofErr w:type="gramStart"/>
      <w:r>
        <w:rPr>
          <w:rFonts w:ascii="Arial" w:hAnsi="Arial" w:cs="Arial"/>
          <w:color w:val="343434"/>
          <w:sz w:val="23"/>
          <w:szCs w:val="23"/>
        </w:rPr>
        <w:t>surgery</w:t>
      </w:r>
      <w:proofErr w:type="gramEnd"/>
      <w:r>
        <w:rPr>
          <w:rFonts w:ascii="Arial" w:hAnsi="Arial" w:cs="Arial"/>
          <w:color w:val="343434"/>
          <w:sz w:val="23"/>
          <w:szCs w:val="23"/>
        </w:rPr>
        <w:t xml:space="preserve"> or pregnancy.</w:t>
      </w:r>
    </w:p>
    <w:p w14:paraId="30BC8FAE" w14:textId="77777777" w:rsidR="00360C2E" w:rsidRDefault="00360C2E" w:rsidP="00360C2E">
      <w:pPr>
        <w:shd w:val="clear" w:color="auto" w:fill="FFFFFF"/>
        <w:rPr>
          <w:rFonts w:ascii="Arial" w:hAnsi="Arial" w:cs="Arial"/>
          <w:b/>
          <w:bCs/>
          <w:color w:val="00467F"/>
          <w:sz w:val="32"/>
          <w:szCs w:val="32"/>
        </w:rPr>
      </w:pPr>
      <w:r>
        <w:rPr>
          <w:rFonts w:ascii="Arial" w:hAnsi="Arial" w:cs="Arial"/>
          <w:b/>
          <w:bCs/>
          <w:color w:val="00467F"/>
          <w:sz w:val="32"/>
          <w:szCs w:val="32"/>
        </w:rPr>
        <w:lastRenderedPageBreak/>
        <w:t>Resources: </w:t>
      </w:r>
    </w:p>
    <w:p w14:paraId="4CE0E60B"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 collection - 3 hours</w:t>
      </w:r>
    </w:p>
    <w:p w14:paraId="6AE61A0C"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 analysis - 4 hours</w:t>
      </w:r>
    </w:p>
    <w:p w14:paraId="18822756" w14:textId="77777777" w:rsidR="00360C2E" w:rsidRDefault="00360C2E" w:rsidP="00360C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report writing - 1 </w:t>
      </w:r>
      <w:proofErr w:type="gramStart"/>
      <w:r>
        <w:rPr>
          <w:rFonts w:ascii="Arial" w:hAnsi="Arial" w:cs="Arial"/>
          <w:color w:val="343434"/>
          <w:sz w:val="23"/>
          <w:szCs w:val="23"/>
        </w:rPr>
        <w:t>hour</w:t>
      </w:r>
      <w:proofErr w:type="gramEnd"/>
    </w:p>
    <w:p w14:paraId="542BD426" w14:textId="77777777" w:rsidR="00360C2E" w:rsidRDefault="00360C2E" w:rsidP="00360C2E">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076A1B4" w14:textId="77777777" w:rsidR="00360C2E" w:rsidRDefault="00360C2E" w:rsidP="00360C2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 Making best use of a Department of Clinical Radiology, </w:t>
      </w:r>
      <w:proofErr w:type="gramStart"/>
      <w:r>
        <w:rPr>
          <w:rFonts w:ascii="Arial" w:hAnsi="Arial" w:cs="Arial"/>
          <w:color w:val="343434"/>
          <w:sz w:val="23"/>
          <w:szCs w:val="23"/>
        </w:rPr>
        <w:t>Eighth  Edition</w:t>
      </w:r>
      <w:proofErr w:type="gramEnd"/>
      <w:r>
        <w:rPr>
          <w:rFonts w:ascii="Arial" w:hAnsi="Arial" w:cs="Arial"/>
          <w:color w:val="343434"/>
          <w:sz w:val="23"/>
          <w:szCs w:val="23"/>
        </w:rPr>
        <w:t xml:space="preserve"> 2017, The Royal College of Radiologists, London.</w:t>
      </w:r>
    </w:p>
    <w:p w14:paraId="52263F72" w14:textId="77777777" w:rsidR="00360C2E" w:rsidRDefault="00360C2E" w:rsidP="00360C2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Mos IC, Klok FA, Kroft LJ, DE </w:t>
      </w:r>
      <w:proofErr w:type="spellStart"/>
      <w:r>
        <w:rPr>
          <w:rFonts w:ascii="Arial" w:hAnsi="Arial" w:cs="Arial"/>
          <w:color w:val="343434"/>
          <w:sz w:val="23"/>
          <w:szCs w:val="23"/>
        </w:rPr>
        <w:t>Roos</w:t>
      </w:r>
      <w:proofErr w:type="spellEnd"/>
      <w:r>
        <w:rPr>
          <w:rFonts w:ascii="Arial" w:hAnsi="Arial" w:cs="Arial"/>
          <w:color w:val="343434"/>
          <w:sz w:val="23"/>
          <w:szCs w:val="23"/>
        </w:rPr>
        <w:t xml:space="preserve">, Dekkers </w:t>
      </w:r>
      <w:proofErr w:type="gramStart"/>
      <w:r>
        <w:rPr>
          <w:rFonts w:ascii="Arial" w:hAnsi="Arial" w:cs="Arial"/>
          <w:color w:val="343434"/>
          <w:sz w:val="23"/>
          <w:szCs w:val="23"/>
        </w:rPr>
        <w:t>OM</w:t>
      </w:r>
      <w:proofErr w:type="gramEnd"/>
      <w:r>
        <w:rPr>
          <w:rFonts w:ascii="Arial" w:hAnsi="Arial" w:cs="Arial"/>
          <w:color w:val="343434"/>
          <w:sz w:val="23"/>
          <w:szCs w:val="23"/>
        </w:rPr>
        <w:t xml:space="preserve"> and Huisman MV. Safety of ruling out acute pulmonary embolism by normal computed tomography pulmonary angiography in patients with an indication for computed tomography: systematic review and meta-analysis. J </w:t>
      </w:r>
      <w:proofErr w:type="spellStart"/>
      <w:r>
        <w:rPr>
          <w:rFonts w:ascii="Arial" w:hAnsi="Arial" w:cs="Arial"/>
          <w:color w:val="343434"/>
          <w:sz w:val="23"/>
          <w:szCs w:val="23"/>
        </w:rPr>
        <w:t>Thromb</w:t>
      </w:r>
      <w:proofErr w:type="spellEnd"/>
      <w:r>
        <w:rPr>
          <w:rFonts w:ascii="Arial" w:hAnsi="Arial" w:cs="Arial"/>
          <w:color w:val="343434"/>
          <w:sz w:val="23"/>
          <w:szCs w:val="23"/>
        </w:rPr>
        <w:t xml:space="preserve"> </w:t>
      </w:r>
      <w:proofErr w:type="spellStart"/>
      <w:r>
        <w:rPr>
          <w:rFonts w:ascii="Arial" w:hAnsi="Arial" w:cs="Arial"/>
          <w:color w:val="343434"/>
          <w:sz w:val="23"/>
          <w:szCs w:val="23"/>
        </w:rPr>
        <w:t>Haemost</w:t>
      </w:r>
      <w:proofErr w:type="spellEnd"/>
      <w:r>
        <w:rPr>
          <w:rFonts w:ascii="Arial" w:hAnsi="Arial" w:cs="Arial"/>
          <w:color w:val="343434"/>
          <w:sz w:val="23"/>
          <w:szCs w:val="23"/>
        </w:rPr>
        <w:t xml:space="preserve">. 2009 Sep;7(9):1491-8. </w:t>
      </w:r>
      <w:proofErr w:type="spellStart"/>
      <w:r>
        <w:rPr>
          <w:rFonts w:ascii="Arial" w:hAnsi="Arial" w:cs="Arial"/>
          <w:color w:val="343434"/>
          <w:sz w:val="23"/>
          <w:szCs w:val="23"/>
        </w:rPr>
        <w:t>Epub</w:t>
      </w:r>
      <w:proofErr w:type="spellEnd"/>
      <w:r>
        <w:rPr>
          <w:rFonts w:ascii="Arial" w:hAnsi="Arial" w:cs="Arial"/>
          <w:color w:val="343434"/>
          <w:sz w:val="23"/>
          <w:szCs w:val="23"/>
        </w:rPr>
        <w:t xml:space="preserve"> 2009 Jun 22.</w:t>
      </w:r>
    </w:p>
    <w:p w14:paraId="205CD614" w14:textId="77777777" w:rsidR="00360C2E" w:rsidRDefault="00360C2E" w:rsidP="00360C2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Venous thromboembolic disease; diagnosis, </w:t>
      </w:r>
      <w:proofErr w:type="gramStart"/>
      <w:r>
        <w:rPr>
          <w:rFonts w:ascii="Arial" w:hAnsi="Arial" w:cs="Arial"/>
          <w:color w:val="343434"/>
          <w:sz w:val="23"/>
          <w:szCs w:val="23"/>
        </w:rPr>
        <w:t>management</w:t>
      </w:r>
      <w:proofErr w:type="gramEnd"/>
      <w:r>
        <w:rPr>
          <w:rFonts w:ascii="Arial" w:hAnsi="Arial" w:cs="Arial"/>
          <w:color w:val="343434"/>
          <w:sz w:val="23"/>
          <w:szCs w:val="23"/>
        </w:rPr>
        <w:t xml:space="preserve"> and thrombophilia testing, 2020. NICE guideline 158</w:t>
      </w:r>
    </w:p>
    <w:p w14:paraId="248D72B1" w14:textId="77777777" w:rsidR="00360C2E" w:rsidRDefault="00360C2E" w:rsidP="00360C2E">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6175B755" w14:textId="77777777" w:rsidR="00360C2E" w:rsidRDefault="00360C2E" w:rsidP="00360C2E">
      <w:pPr>
        <w:shd w:val="clear" w:color="auto" w:fill="FFFFFF"/>
        <w:rPr>
          <w:rFonts w:ascii="Arial" w:hAnsi="Arial" w:cs="Arial"/>
          <w:color w:val="343434"/>
          <w:sz w:val="23"/>
          <w:szCs w:val="23"/>
        </w:rPr>
      </w:pPr>
      <w:r>
        <w:rPr>
          <w:rFonts w:ascii="Arial" w:hAnsi="Arial" w:cs="Arial"/>
          <w:color w:val="343434"/>
          <w:sz w:val="23"/>
          <w:szCs w:val="23"/>
        </w:rPr>
        <w:t>Dr A Quigley, Dr K Brown. Updated by Dr P Mehrotra</w:t>
      </w:r>
    </w:p>
    <w:p w14:paraId="7C071935" w14:textId="77777777" w:rsidR="00360C2E" w:rsidRDefault="00360C2E" w:rsidP="00360C2E">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375F0495" w14:textId="77777777" w:rsidR="00360C2E" w:rsidRDefault="00360C2E" w:rsidP="00360C2E">
      <w:pPr>
        <w:shd w:val="clear" w:color="auto" w:fill="FFFFFF"/>
        <w:rPr>
          <w:rFonts w:ascii="Arial" w:hAnsi="Arial" w:cs="Arial"/>
          <w:color w:val="343434"/>
          <w:sz w:val="23"/>
          <w:szCs w:val="23"/>
        </w:rPr>
      </w:pPr>
      <w:r>
        <w:rPr>
          <w:rStyle w:val="date-display-single"/>
          <w:rFonts w:ascii="Arial" w:hAnsi="Arial" w:cs="Arial"/>
          <w:color w:val="343434"/>
          <w:sz w:val="23"/>
          <w:szCs w:val="23"/>
        </w:rPr>
        <w:t>Tuesday 31 August 2010</w:t>
      </w:r>
    </w:p>
    <w:p w14:paraId="533FAB8F" w14:textId="77777777" w:rsidR="00360C2E" w:rsidRDefault="00360C2E" w:rsidP="00360C2E">
      <w:pPr>
        <w:rPr>
          <w:rFonts w:ascii="Times New Roman" w:hAnsi="Times New Roman" w:cs="Times New Roman"/>
          <w:sz w:val="24"/>
          <w:szCs w:val="24"/>
        </w:rPr>
      </w:pPr>
    </w:p>
    <w:p w14:paraId="4CA56836" w14:textId="77777777" w:rsidR="00360C2E" w:rsidRDefault="00360C2E" w:rsidP="00360C2E">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009BC29A" w14:textId="77777777" w:rsidR="00360C2E" w:rsidRDefault="00360C2E" w:rsidP="00360C2E">
      <w:pPr>
        <w:shd w:val="clear" w:color="auto" w:fill="FFFFFF"/>
        <w:rPr>
          <w:rFonts w:ascii="Arial" w:hAnsi="Arial" w:cs="Arial"/>
          <w:color w:val="343434"/>
          <w:sz w:val="23"/>
          <w:szCs w:val="23"/>
        </w:rPr>
      </w:pPr>
      <w:r>
        <w:rPr>
          <w:rStyle w:val="date-display-single"/>
          <w:rFonts w:ascii="Arial" w:hAnsi="Arial" w:cs="Arial"/>
          <w:color w:val="343434"/>
          <w:sz w:val="23"/>
          <w:szCs w:val="23"/>
        </w:rPr>
        <w:t>Thursday 6 May 2021</w:t>
      </w:r>
    </w:p>
    <w:p w14:paraId="72130A9A"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B4131"/>
    <w:multiLevelType w:val="multilevel"/>
    <w:tmpl w:val="4DF89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501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C2E"/>
    <w:rsid w:val="00360C2E"/>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5A11"/>
  <w15:chartTrackingRefBased/>
  <w15:docId w15:val="{340DBEDB-A464-478B-A84D-B20958F8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0C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360C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C2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360C2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60C2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date-display-single">
    <w:name w:val="date-display-single"/>
    <w:basedOn w:val="DefaultParagraphFont"/>
    <w:rsid w:val="00360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19242">
      <w:bodyDiv w:val="1"/>
      <w:marLeft w:val="0"/>
      <w:marRight w:val="0"/>
      <w:marTop w:val="0"/>
      <w:marBottom w:val="0"/>
      <w:divBdr>
        <w:top w:val="none" w:sz="0" w:space="0" w:color="auto"/>
        <w:left w:val="none" w:sz="0" w:space="0" w:color="auto"/>
        <w:bottom w:val="none" w:sz="0" w:space="0" w:color="auto"/>
        <w:right w:val="none" w:sz="0" w:space="0" w:color="auto"/>
      </w:divBdr>
    </w:div>
    <w:div w:id="1420173725">
      <w:bodyDiv w:val="1"/>
      <w:marLeft w:val="0"/>
      <w:marRight w:val="0"/>
      <w:marTop w:val="0"/>
      <w:marBottom w:val="0"/>
      <w:divBdr>
        <w:top w:val="none" w:sz="0" w:space="0" w:color="auto"/>
        <w:left w:val="none" w:sz="0" w:space="0" w:color="auto"/>
        <w:bottom w:val="none" w:sz="0" w:space="0" w:color="auto"/>
        <w:right w:val="none" w:sz="0" w:space="0" w:color="auto"/>
      </w:divBdr>
      <w:divsChild>
        <w:div w:id="1831604341">
          <w:marLeft w:val="0"/>
          <w:marRight w:val="0"/>
          <w:marTop w:val="0"/>
          <w:marBottom w:val="480"/>
          <w:divBdr>
            <w:top w:val="none" w:sz="0" w:space="0" w:color="auto"/>
            <w:left w:val="none" w:sz="0" w:space="0" w:color="auto"/>
            <w:bottom w:val="none" w:sz="0" w:space="0" w:color="auto"/>
            <w:right w:val="none" w:sz="0" w:space="0" w:color="auto"/>
          </w:divBdr>
          <w:divsChild>
            <w:div w:id="402920424">
              <w:marLeft w:val="0"/>
              <w:marRight w:val="0"/>
              <w:marTop w:val="0"/>
              <w:marBottom w:val="0"/>
              <w:divBdr>
                <w:top w:val="none" w:sz="0" w:space="0" w:color="auto"/>
                <w:left w:val="none" w:sz="0" w:space="0" w:color="auto"/>
                <w:bottom w:val="none" w:sz="0" w:space="0" w:color="auto"/>
                <w:right w:val="none" w:sz="0" w:space="0" w:color="auto"/>
              </w:divBdr>
            </w:div>
            <w:div w:id="266236322">
              <w:marLeft w:val="0"/>
              <w:marRight w:val="0"/>
              <w:marTop w:val="0"/>
              <w:marBottom w:val="0"/>
              <w:divBdr>
                <w:top w:val="none" w:sz="0" w:space="0" w:color="auto"/>
                <w:left w:val="none" w:sz="0" w:space="0" w:color="auto"/>
                <w:bottom w:val="none" w:sz="0" w:space="0" w:color="auto"/>
                <w:right w:val="none" w:sz="0" w:space="0" w:color="auto"/>
              </w:divBdr>
              <w:divsChild>
                <w:div w:id="12515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09224">
          <w:marLeft w:val="0"/>
          <w:marRight w:val="0"/>
          <w:marTop w:val="0"/>
          <w:marBottom w:val="480"/>
          <w:divBdr>
            <w:top w:val="none" w:sz="0" w:space="0" w:color="auto"/>
            <w:left w:val="none" w:sz="0" w:space="0" w:color="auto"/>
            <w:bottom w:val="none" w:sz="0" w:space="0" w:color="auto"/>
            <w:right w:val="none" w:sz="0" w:space="0" w:color="auto"/>
          </w:divBdr>
          <w:divsChild>
            <w:div w:id="1955013072">
              <w:marLeft w:val="0"/>
              <w:marRight w:val="0"/>
              <w:marTop w:val="0"/>
              <w:marBottom w:val="0"/>
              <w:divBdr>
                <w:top w:val="none" w:sz="0" w:space="0" w:color="auto"/>
                <w:left w:val="none" w:sz="0" w:space="0" w:color="auto"/>
                <w:bottom w:val="none" w:sz="0" w:space="0" w:color="auto"/>
                <w:right w:val="none" w:sz="0" w:space="0" w:color="auto"/>
              </w:divBdr>
            </w:div>
            <w:div w:id="1933466226">
              <w:marLeft w:val="0"/>
              <w:marRight w:val="0"/>
              <w:marTop w:val="0"/>
              <w:marBottom w:val="0"/>
              <w:divBdr>
                <w:top w:val="none" w:sz="0" w:space="0" w:color="auto"/>
                <w:left w:val="none" w:sz="0" w:space="0" w:color="auto"/>
                <w:bottom w:val="none" w:sz="0" w:space="0" w:color="auto"/>
                <w:right w:val="none" w:sz="0" w:space="0" w:color="auto"/>
              </w:divBdr>
              <w:divsChild>
                <w:div w:id="8467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9713">
          <w:marLeft w:val="0"/>
          <w:marRight w:val="0"/>
          <w:marTop w:val="0"/>
          <w:marBottom w:val="0"/>
          <w:divBdr>
            <w:top w:val="none" w:sz="0" w:space="0" w:color="auto"/>
            <w:left w:val="none" w:sz="0" w:space="0" w:color="auto"/>
            <w:bottom w:val="none" w:sz="0" w:space="0" w:color="auto"/>
            <w:right w:val="none" w:sz="0" w:space="0" w:color="auto"/>
          </w:divBdr>
          <w:divsChild>
            <w:div w:id="1287736036">
              <w:marLeft w:val="0"/>
              <w:marRight w:val="0"/>
              <w:marTop w:val="0"/>
              <w:marBottom w:val="0"/>
              <w:divBdr>
                <w:top w:val="none" w:sz="0" w:space="0" w:color="auto"/>
                <w:left w:val="none" w:sz="0" w:space="0" w:color="auto"/>
                <w:bottom w:val="none" w:sz="0" w:space="0" w:color="auto"/>
                <w:right w:val="none" w:sz="0" w:space="0" w:color="auto"/>
              </w:divBdr>
            </w:div>
            <w:div w:id="1952710821">
              <w:marLeft w:val="0"/>
              <w:marRight w:val="0"/>
              <w:marTop w:val="0"/>
              <w:marBottom w:val="0"/>
              <w:divBdr>
                <w:top w:val="none" w:sz="0" w:space="0" w:color="auto"/>
                <w:left w:val="none" w:sz="0" w:space="0" w:color="auto"/>
                <w:bottom w:val="none" w:sz="0" w:space="0" w:color="auto"/>
                <w:right w:val="none" w:sz="0" w:space="0" w:color="auto"/>
              </w:divBdr>
              <w:divsChild>
                <w:div w:id="4467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36530">
          <w:marLeft w:val="0"/>
          <w:marRight w:val="0"/>
          <w:marTop w:val="0"/>
          <w:marBottom w:val="0"/>
          <w:divBdr>
            <w:top w:val="none" w:sz="0" w:space="0" w:color="auto"/>
            <w:left w:val="none" w:sz="0" w:space="0" w:color="auto"/>
            <w:bottom w:val="none" w:sz="0" w:space="0" w:color="auto"/>
            <w:right w:val="none" w:sz="0" w:space="0" w:color="auto"/>
          </w:divBdr>
          <w:divsChild>
            <w:div w:id="1531186910">
              <w:marLeft w:val="0"/>
              <w:marRight w:val="0"/>
              <w:marTop w:val="0"/>
              <w:marBottom w:val="0"/>
              <w:divBdr>
                <w:top w:val="none" w:sz="0" w:space="0" w:color="auto"/>
                <w:left w:val="none" w:sz="0" w:space="0" w:color="auto"/>
                <w:bottom w:val="none" w:sz="0" w:space="0" w:color="auto"/>
                <w:right w:val="none" w:sz="0" w:space="0" w:color="auto"/>
              </w:divBdr>
            </w:div>
            <w:div w:id="1088967366">
              <w:marLeft w:val="0"/>
              <w:marRight w:val="0"/>
              <w:marTop w:val="0"/>
              <w:marBottom w:val="0"/>
              <w:divBdr>
                <w:top w:val="none" w:sz="0" w:space="0" w:color="auto"/>
                <w:left w:val="none" w:sz="0" w:space="0" w:color="auto"/>
                <w:bottom w:val="none" w:sz="0" w:space="0" w:color="auto"/>
                <w:right w:val="none" w:sz="0" w:space="0" w:color="auto"/>
              </w:divBdr>
              <w:divsChild>
                <w:div w:id="20324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4665">
          <w:marLeft w:val="0"/>
          <w:marRight w:val="0"/>
          <w:marTop w:val="0"/>
          <w:marBottom w:val="0"/>
          <w:divBdr>
            <w:top w:val="none" w:sz="0" w:space="0" w:color="auto"/>
            <w:left w:val="none" w:sz="0" w:space="0" w:color="auto"/>
            <w:bottom w:val="none" w:sz="0" w:space="0" w:color="auto"/>
            <w:right w:val="none" w:sz="0" w:space="0" w:color="auto"/>
          </w:divBdr>
          <w:divsChild>
            <w:div w:id="930889862">
              <w:marLeft w:val="0"/>
              <w:marRight w:val="0"/>
              <w:marTop w:val="0"/>
              <w:marBottom w:val="0"/>
              <w:divBdr>
                <w:top w:val="none" w:sz="0" w:space="0" w:color="auto"/>
                <w:left w:val="none" w:sz="0" w:space="0" w:color="auto"/>
                <w:bottom w:val="none" w:sz="0" w:space="0" w:color="auto"/>
                <w:right w:val="none" w:sz="0" w:space="0" w:color="auto"/>
              </w:divBdr>
            </w:div>
            <w:div w:id="2054884823">
              <w:marLeft w:val="0"/>
              <w:marRight w:val="0"/>
              <w:marTop w:val="0"/>
              <w:marBottom w:val="0"/>
              <w:divBdr>
                <w:top w:val="none" w:sz="0" w:space="0" w:color="auto"/>
                <w:left w:val="none" w:sz="0" w:space="0" w:color="auto"/>
                <w:bottom w:val="none" w:sz="0" w:space="0" w:color="auto"/>
                <w:right w:val="none" w:sz="0" w:space="0" w:color="auto"/>
              </w:divBdr>
              <w:divsChild>
                <w:div w:id="15890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0870">
          <w:marLeft w:val="0"/>
          <w:marRight w:val="0"/>
          <w:marTop w:val="0"/>
          <w:marBottom w:val="0"/>
          <w:divBdr>
            <w:top w:val="none" w:sz="0" w:space="0" w:color="auto"/>
            <w:left w:val="none" w:sz="0" w:space="0" w:color="auto"/>
            <w:bottom w:val="none" w:sz="0" w:space="0" w:color="auto"/>
            <w:right w:val="none" w:sz="0" w:space="0" w:color="auto"/>
          </w:divBdr>
          <w:divsChild>
            <w:div w:id="1112047278">
              <w:marLeft w:val="0"/>
              <w:marRight w:val="0"/>
              <w:marTop w:val="0"/>
              <w:marBottom w:val="0"/>
              <w:divBdr>
                <w:top w:val="none" w:sz="0" w:space="0" w:color="auto"/>
                <w:left w:val="none" w:sz="0" w:space="0" w:color="auto"/>
                <w:bottom w:val="none" w:sz="0" w:space="0" w:color="auto"/>
                <w:right w:val="none" w:sz="0" w:space="0" w:color="auto"/>
              </w:divBdr>
            </w:div>
            <w:div w:id="287247947">
              <w:marLeft w:val="0"/>
              <w:marRight w:val="0"/>
              <w:marTop w:val="0"/>
              <w:marBottom w:val="0"/>
              <w:divBdr>
                <w:top w:val="none" w:sz="0" w:space="0" w:color="auto"/>
                <w:left w:val="none" w:sz="0" w:space="0" w:color="auto"/>
                <w:bottom w:val="none" w:sz="0" w:space="0" w:color="auto"/>
                <w:right w:val="none" w:sz="0" w:space="0" w:color="auto"/>
              </w:divBdr>
              <w:divsChild>
                <w:div w:id="1761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0092">
          <w:marLeft w:val="0"/>
          <w:marRight w:val="0"/>
          <w:marTop w:val="0"/>
          <w:marBottom w:val="0"/>
          <w:divBdr>
            <w:top w:val="none" w:sz="0" w:space="0" w:color="auto"/>
            <w:left w:val="none" w:sz="0" w:space="0" w:color="auto"/>
            <w:bottom w:val="none" w:sz="0" w:space="0" w:color="auto"/>
            <w:right w:val="none" w:sz="0" w:space="0" w:color="auto"/>
          </w:divBdr>
          <w:divsChild>
            <w:div w:id="424495619">
              <w:marLeft w:val="0"/>
              <w:marRight w:val="0"/>
              <w:marTop w:val="0"/>
              <w:marBottom w:val="0"/>
              <w:divBdr>
                <w:top w:val="none" w:sz="0" w:space="0" w:color="auto"/>
                <w:left w:val="none" w:sz="0" w:space="0" w:color="auto"/>
                <w:bottom w:val="none" w:sz="0" w:space="0" w:color="auto"/>
                <w:right w:val="none" w:sz="0" w:space="0" w:color="auto"/>
              </w:divBdr>
            </w:div>
            <w:div w:id="1957177451">
              <w:marLeft w:val="0"/>
              <w:marRight w:val="0"/>
              <w:marTop w:val="0"/>
              <w:marBottom w:val="0"/>
              <w:divBdr>
                <w:top w:val="none" w:sz="0" w:space="0" w:color="auto"/>
                <w:left w:val="none" w:sz="0" w:space="0" w:color="auto"/>
                <w:bottom w:val="none" w:sz="0" w:space="0" w:color="auto"/>
                <w:right w:val="none" w:sz="0" w:space="0" w:color="auto"/>
              </w:divBdr>
              <w:divsChild>
                <w:div w:id="18771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6366">
          <w:marLeft w:val="0"/>
          <w:marRight w:val="0"/>
          <w:marTop w:val="0"/>
          <w:marBottom w:val="480"/>
          <w:divBdr>
            <w:top w:val="none" w:sz="0" w:space="0" w:color="auto"/>
            <w:left w:val="none" w:sz="0" w:space="0" w:color="auto"/>
            <w:bottom w:val="none" w:sz="0" w:space="0" w:color="auto"/>
            <w:right w:val="none" w:sz="0" w:space="0" w:color="auto"/>
          </w:divBdr>
          <w:divsChild>
            <w:div w:id="1563327986">
              <w:marLeft w:val="0"/>
              <w:marRight w:val="0"/>
              <w:marTop w:val="0"/>
              <w:marBottom w:val="0"/>
              <w:divBdr>
                <w:top w:val="none" w:sz="0" w:space="0" w:color="auto"/>
                <w:left w:val="none" w:sz="0" w:space="0" w:color="auto"/>
                <w:bottom w:val="none" w:sz="0" w:space="0" w:color="auto"/>
                <w:right w:val="none" w:sz="0" w:space="0" w:color="auto"/>
              </w:divBdr>
            </w:div>
            <w:div w:id="327484937">
              <w:marLeft w:val="0"/>
              <w:marRight w:val="0"/>
              <w:marTop w:val="0"/>
              <w:marBottom w:val="0"/>
              <w:divBdr>
                <w:top w:val="none" w:sz="0" w:space="0" w:color="auto"/>
                <w:left w:val="none" w:sz="0" w:space="0" w:color="auto"/>
                <w:bottom w:val="none" w:sz="0" w:space="0" w:color="auto"/>
                <w:right w:val="none" w:sz="0" w:space="0" w:color="auto"/>
              </w:divBdr>
              <w:divsChild>
                <w:div w:id="13971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7944">
          <w:marLeft w:val="0"/>
          <w:marRight w:val="0"/>
          <w:marTop w:val="0"/>
          <w:marBottom w:val="480"/>
          <w:divBdr>
            <w:top w:val="none" w:sz="0" w:space="0" w:color="auto"/>
            <w:left w:val="none" w:sz="0" w:space="0" w:color="auto"/>
            <w:bottom w:val="none" w:sz="0" w:space="0" w:color="auto"/>
            <w:right w:val="none" w:sz="0" w:space="0" w:color="auto"/>
          </w:divBdr>
          <w:divsChild>
            <w:div w:id="769812370">
              <w:marLeft w:val="0"/>
              <w:marRight w:val="0"/>
              <w:marTop w:val="0"/>
              <w:marBottom w:val="0"/>
              <w:divBdr>
                <w:top w:val="none" w:sz="0" w:space="0" w:color="auto"/>
                <w:left w:val="none" w:sz="0" w:space="0" w:color="auto"/>
                <w:bottom w:val="none" w:sz="0" w:space="0" w:color="auto"/>
                <w:right w:val="none" w:sz="0" w:space="0" w:color="auto"/>
              </w:divBdr>
            </w:div>
            <w:div w:id="28915158">
              <w:marLeft w:val="0"/>
              <w:marRight w:val="0"/>
              <w:marTop w:val="0"/>
              <w:marBottom w:val="0"/>
              <w:divBdr>
                <w:top w:val="none" w:sz="0" w:space="0" w:color="auto"/>
                <w:left w:val="none" w:sz="0" w:space="0" w:color="auto"/>
                <w:bottom w:val="none" w:sz="0" w:space="0" w:color="auto"/>
                <w:right w:val="none" w:sz="0" w:space="0" w:color="auto"/>
              </w:divBdr>
              <w:divsChild>
                <w:div w:id="20254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8836">
          <w:marLeft w:val="0"/>
          <w:marRight w:val="0"/>
          <w:marTop w:val="0"/>
          <w:marBottom w:val="480"/>
          <w:divBdr>
            <w:top w:val="none" w:sz="0" w:space="0" w:color="auto"/>
            <w:left w:val="none" w:sz="0" w:space="0" w:color="auto"/>
            <w:bottom w:val="none" w:sz="0" w:space="0" w:color="auto"/>
            <w:right w:val="none" w:sz="0" w:space="0" w:color="auto"/>
          </w:divBdr>
          <w:divsChild>
            <w:div w:id="726757492">
              <w:marLeft w:val="0"/>
              <w:marRight w:val="0"/>
              <w:marTop w:val="0"/>
              <w:marBottom w:val="0"/>
              <w:divBdr>
                <w:top w:val="none" w:sz="0" w:space="0" w:color="auto"/>
                <w:left w:val="none" w:sz="0" w:space="0" w:color="auto"/>
                <w:bottom w:val="none" w:sz="0" w:space="0" w:color="auto"/>
                <w:right w:val="none" w:sz="0" w:space="0" w:color="auto"/>
              </w:divBdr>
            </w:div>
            <w:div w:id="1829441829">
              <w:marLeft w:val="0"/>
              <w:marRight w:val="0"/>
              <w:marTop w:val="0"/>
              <w:marBottom w:val="0"/>
              <w:divBdr>
                <w:top w:val="none" w:sz="0" w:space="0" w:color="auto"/>
                <w:left w:val="none" w:sz="0" w:space="0" w:color="auto"/>
                <w:bottom w:val="none" w:sz="0" w:space="0" w:color="auto"/>
                <w:right w:val="none" w:sz="0" w:space="0" w:color="auto"/>
              </w:divBdr>
              <w:divsChild>
                <w:div w:id="10716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5708">
          <w:marLeft w:val="0"/>
          <w:marRight w:val="0"/>
          <w:marTop w:val="0"/>
          <w:marBottom w:val="480"/>
          <w:divBdr>
            <w:top w:val="none" w:sz="0" w:space="0" w:color="auto"/>
            <w:left w:val="none" w:sz="0" w:space="0" w:color="auto"/>
            <w:bottom w:val="none" w:sz="0" w:space="0" w:color="auto"/>
            <w:right w:val="none" w:sz="0" w:space="0" w:color="auto"/>
          </w:divBdr>
          <w:divsChild>
            <w:div w:id="600188269">
              <w:marLeft w:val="0"/>
              <w:marRight w:val="0"/>
              <w:marTop w:val="0"/>
              <w:marBottom w:val="0"/>
              <w:divBdr>
                <w:top w:val="none" w:sz="0" w:space="0" w:color="auto"/>
                <w:left w:val="none" w:sz="0" w:space="0" w:color="auto"/>
                <w:bottom w:val="none" w:sz="0" w:space="0" w:color="auto"/>
                <w:right w:val="none" w:sz="0" w:space="0" w:color="auto"/>
              </w:divBdr>
            </w:div>
            <w:div w:id="801926284">
              <w:marLeft w:val="0"/>
              <w:marRight w:val="0"/>
              <w:marTop w:val="0"/>
              <w:marBottom w:val="0"/>
              <w:divBdr>
                <w:top w:val="none" w:sz="0" w:space="0" w:color="auto"/>
                <w:left w:val="none" w:sz="0" w:space="0" w:color="auto"/>
                <w:bottom w:val="none" w:sz="0" w:space="0" w:color="auto"/>
                <w:right w:val="none" w:sz="0" w:space="0" w:color="auto"/>
              </w:divBdr>
              <w:divsChild>
                <w:div w:id="16701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5217">
          <w:marLeft w:val="0"/>
          <w:marRight w:val="0"/>
          <w:marTop w:val="0"/>
          <w:marBottom w:val="0"/>
          <w:divBdr>
            <w:top w:val="none" w:sz="0" w:space="0" w:color="auto"/>
            <w:left w:val="none" w:sz="0" w:space="0" w:color="auto"/>
            <w:bottom w:val="none" w:sz="0" w:space="0" w:color="auto"/>
            <w:right w:val="none" w:sz="0" w:space="0" w:color="auto"/>
          </w:divBdr>
          <w:divsChild>
            <w:div w:id="1252004040">
              <w:marLeft w:val="0"/>
              <w:marRight w:val="0"/>
              <w:marTop w:val="0"/>
              <w:marBottom w:val="0"/>
              <w:divBdr>
                <w:top w:val="none" w:sz="0" w:space="0" w:color="auto"/>
                <w:left w:val="none" w:sz="0" w:space="0" w:color="auto"/>
                <w:bottom w:val="none" w:sz="0" w:space="0" w:color="auto"/>
                <w:right w:val="none" w:sz="0" w:space="0" w:color="auto"/>
              </w:divBdr>
            </w:div>
            <w:div w:id="1802723960">
              <w:marLeft w:val="0"/>
              <w:marRight w:val="0"/>
              <w:marTop w:val="0"/>
              <w:marBottom w:val="0"/>
              <w:divBdr>
                <w:top w:val="none" w:sz="0" w:space="0" w:color="auto"/>
                <w:left w:val="none" w:sz="0" w:space="0" w:color="auto"/>
                <w:bottom w:val="none" w:sz="0" w:space="0" w:color="auto"/>
                <w:right w:val="none" w:sz="0" w:space="0" w:color="auto"/>
              </w:divBdr>
              <w:divsChild>
                <w:div w:id="11213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3682">
          <w:marLeft w:val="0"/>
          <w:marRight w:val="0"/>
          <w:marTop w:val="0"/>
          <w:marBottom w:val="0"/>
          <w:divBdr>
            <w:top w:val="none" w:sz="0" w:space="0" w:color="auto"/>
            <w:left w:val="none" w:sz="0" w:space="0" w:color="auto"/>
            <w:bottom w:val="none" w:sz="0" w:space="0" w:color="auto"/>
            <w:right w:val="none" w:sz="0" w:space="0" w:color="auto"/>
          </w:divBdr>
          <w:divsChild>
            <w:div w:id="1391416712">
              <w:marLeft w:val="0"/>
              <w:marRight w:val="0"/>
              <w:marTop w:val="0"/>
              <w:marBottom w:val="0"/>
              <w:divBdr>
                <w:top w:val="none" w:sz="0" w:space="0" w:color="auto"/>
                <w:left w:val="none" w:sz="0" w:space="0" w:color="auto"/>
                <w:bottom w:val="none" w:sz="0" w:space="0" w:color="auto"/>
                <w:right w:val="none" w:sz="0" w:space="0" w:color="auto"/>
              </w:divBdr>
            </w:div>
            <w:div w:id="319625693">
              <w:marLeft w:val="0"/>
              <w:marRight w:val="0"/>
              <w:marTop w:val="0"/>
              <w:marBottom w:val="0"/>
              <w:divBdr>
                <w:top w:val="none" w:sz="0" w:space="0" w:color="auto"/>
                <w:left w:val="none" w:sz="0" w:space="0" w:color="auto"/>
                <w:bottom w:val="none" w:sz="0" w:space="0" w:color="auto"/>
                <w:right w:val="none" w:sz="0" w:space="0" w:color="auto"/>
              </w:divBdr>
              <w:divsChild>
                <w:div w:id="17133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667BCBB1-59D9-49A0-B18E-7254534BBE22}"/>
</file>

<file path=customXml/itemProps2.xml><?xml version="1.0" encoding="utf-8"?>
<ds:datastoreItem xmlns:ds="http://schemas.openxmlformats.org/officeDocument/2006/customXml" ds:itemID="{BA0C6193-AA23-4D96-8868-E99FF28D90CD}"/>
</file>

<file path=customXml/itemProps3.xml><?xml version="1.0" encoding="utf-8"?>
<ds:datastoreItem xmlns:ds="http://schemas.openxmlformats.org/officeDocument/2006/customXml" ds:itemID="{9B603ACB-E7F8-4840-B208-520C2C57C7DC}"/>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2023-10-09T12:48:00Z</dcterms:created>
  <dcterms:modified xsi:type="dcterms:W3CDTF">2023-10-09T12:49:00Z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