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52C3" w14:textId="77777777" w:rsidR="008764F8" w:rsidRDefault="008764F8" w:rsidP="008764F8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Audit of Communication of Fail-safe Alerts [QSI Ref: XR-510]</w:t>
      </w:r>
    </w:p>
    <w:p w14:paraId="0409FC76" w14:textId="77777777" w:rsidR="008764F8" w:rsidRDefault="008764F8" w:rsidP="008764F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0E26F46A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National Patient Safety Alert, Patient Notice 16, states that for critical and significant unexpected results, safety nets should be established with additional steps for communication, commonly referred to as fail-safe alerts [1].  It is a matter of professional judgement on the part of the reporting radiologist when additional steps need to be taken to supplement the normal systems of communication to referrers [2]. This audit provides evidence on clinical effectiveness.</w:t>
      </w:r>
    </w:p>
    <w:p w14:paraId="077B4D2B" w14:textId="77777777" w:rsidR="008764F8" w:rsidRDefault="008764F8" w:rsidP="008764F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204C291D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Accurate reporting of imaging studies and timely effective communication of reports to those who treat the patient is essential. The issue of communication of reports has been highlighted as a problem for UK radiology departments, starting with the publication of the </w:t>
      </w:r>
      <w:r>
        <w:rPr>
          <w:rStyle w:val="Emphasis"/>
          <w:rFonts w:ascii="Arial" w:hAnsi="Arial" w:cs="Arial"/>
          <w:color w:val="343434"/>
          <w:sz w:val="23"/>
          <w:szCs w:val="23"/>
        </w:rPr>
        <w:t>Early identification of failure to act on radiological imaging reports</w:t>
      </w:r>
      <w:r>
        <w:rPr>
          <w:rFonts w:ascii="Arial" w:hAnsi="Arial" w:cs="Arial"/>
          <w:color w:val="343434"/>
          <w:sz w:val="23"/>
          <w:szCs w:val="23"/>
        </w:rPr>
        <w:t>, NPSA Safety Alert 16 in 2007 [2]. Duncan et al (2015) found that only 34% of radiology departments in UK have an automated alert system in place and even fewer (17%) have the facility for enterprise-wide tracking of radiology reports for referring doctors [3].</w:t>
      </w:r>
    </w:p>
    <w:p w14:paraId="24D203BF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O’Connor et al (2016) in their study conducted at a large academic centre in the Massachusetts, USA reported that integrating Alert Notification of Critical Results and EHR provides an additional workflow for acknowledging non-urgent, clinically significant results without significant change in rates of closed-loop communication or follow-up of alerts [4].</w:t>
      </w:r>
    </w:p>
    <w:p w14:paraId="27E6716F" w14:textId="77777777" w:rsidR="008764F8" w:rsidRDefault="008764F8" w:rsidP="008764F8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4E9A67E5" w14:textId="77777777" w:rsidR="008764F8" w:rsidRDefault="008764F8" w:rsidP="008764F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14909B5A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Every department should have a defined process for the communication of fail-safe alerts as outlined by Safer Practice Notice 16 [1]</w:t>
      </w:r>
    </w:p>
    <w:p w14:paraId="0AA49966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The processes involved should be transparent and form clear and available trust policy, agreed between the radiology department and requesting clinicians</w:t>
      </w:r>
    </w:p>
    <w:p w14:paraId="679D9F64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The processes involved should be subjected to regular audit</w:t>
      </w:r>
    </w:p>
    <w:p w14:paraId="24F8A828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There should be defined fail-safe alert procedures for significant unexpected findings – such as unexpected cancer on imaging. Processes involved may include copy reports to the GP, cancer services, multidisciplinary team or other identified healthcare professional in consultation with the referring healthcare 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professional</w:t>
      </w:r>
      <w:proofErr w:type="gramEnd"/>
    </w:p>
    <w:p w14:paraId="7257BE6D" w14:textId="77777777" w:rsidR="008764F8" w:rsidRDefault="008764F8" w:rsidP="008764F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2B3148C5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Flagging of imaging findings that need a fail-safe alert in a report: target 100%</w:t>
      </w:r>
    </w:p>
    <w:p w14:paraId="1CC17A12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 Electronic communication of fail-safe alerts to PACS, EPR and GP systems: target 100%</w:t>
      </w:r>
    </w:p>
    <w:p w14:paraId="4574C979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Manual process for communication of fail-safe alert (if used): target 100%</w:t>
      </w:r>
    </w:p>
    <w:p w14:paraId="2C6204FE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 Record is kept of delivery of all reports delivered (if manual process used), by secretary making a call or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faxing :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target 100%</w:t>
      </w:r>
    </w:p>
    <w:p w14:paraId="47665C8A" w14:textId="77777777" w:rsidR="008764F8" w:rsidRDefault="008764F8" w:rsidP="008764F8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3CF8F2EC" w14:textId="77777777" w:rsidR="008764F8" w:rsidRDefault="008764F8" w:rsidP="008764F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358C2AF1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As stated in targets.</w:t>
      </w:r>
    </w:p>
    <w:p w14:paraId="5D5825E8" w14:textId="77777777" w:rsidR="008764F8" w:rsidRDefault="008764F8" w:rsidP="008764F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19B324A1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Choose a site-specific cancer (for example, lung) or other agreed pathology and determine whether alerts were appropriately used and issued</w:t>
      </w:r>
    </w:p>
    <w:p w14:paraId="0890E4D2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- For example, for lung cancer, ask for a list of all new cases of newly diagnosed lung cancer from the lung MDT for the past three months, including the date of diagnosis</w:t>
      </w:r>
    </w:p>
    <w:p w14:paraId="39A705D6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Review all the radiology reports prior to the diagnosis to assess whether the reports have been flagged with a fail-safe alert within the radiology report text</w:t>
      </w:r>
    </w:p>
    <w:p w14:paraId="5797A966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Review all reports on EPR or PACS to see if the fail-safe alert has been transmitted electronically by phone, fax</w:t>
      </w:r>
    </w:p>
    <w:p w14:paraId="704A92E8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Review the report information and RIS or radiology reporting application information to look for manual fail-safe processes documentation – for example, that a copy of the report was sent to the MDT co-ordinator, the report was telephoned etc</w:t>
      </w:r>
    </w:p>
    <w:p w14:paraId="77F2BAD9" w14:textId="77777777" w:rsidR="008764F8" w:rsidRDefault="008764F8" w:rsidP="008764F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35F71EAE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For example, all newly diagnosed lung cancer for the past 3 months.</w:t>
      </w:r>
    </w:p>
    <w:p w14:paraId="6460B8D3" w14:textId="77777777" w:rsidR="008764F8" w:rsidRDefault="008764F8" w:rsidP="008764F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6D9F58A8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 Present Audit results at the local clinical governance meeting</w:t>
      </w:r>
    </w:p>
    <w:p w14:paraId="1519155A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 Re-iterate that radiology reports should ensure that critical findings are emphasized and obvious that the degree of urgency for action by the referring health professional is clear</w:t>
      </w:r>
    </w:p>
    <w:p w14:paraId="7E54DBF5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 Local practice guidelines – define and develop a policy for radiological imaging reports which require particularly timely and reliable communication. For example, abnormal, unexpected and / or critical ranges</w:t>
      </w:r>
    </w:p>
    <w:p w14:paraId="18874409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4. Define and document local ‘safety net’ procedures. For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example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copy reports to the GP, cancer services, multidisciplinary team or other defined health professional in consultation with the referring health professional</w:t>
      </w:r>
    </w:p>
    <w:p w14:paraId="1849D4D4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5. Recommend Trust Management to provide Imaging departments and referring doctors with robust IT systems for electronic tracking, reading and acknowledgement of radiology reports in the full clinical context</w:t>
      </w:r>
    </w:p>
    <w:p w14:paraId="63768E66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6. Re-audit in 6 months post local education and changes</w:t>
      </w:r>
    </w:p>
    <w:p w14:paraId="5641C089" w14:textId="77777777" w:rsidR="008764F8" w:rsidRDefault="008764F8" w:rsidP="008764F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33842DAC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Personnel: IT facilities and clerical time to pull the necessary lists</w:t>
      </w:r>
    </w:p>
    <w:p w14:paraId="70D8FA85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Time: allow eight hours for scrutinising records and preparing formal report</w:t>
      </w:r>
    </w:p>
    <w:p w14:paraId="4F0FB4C1" w14:textId="77777777" w:rsidR="008764F8" w:rsidRDefault="008764F8" w:rsidP="008764F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28963472" w14:textId="77777777" w:rsidR="008764F8" w:rsidRDefault="008764F8" w:rsidP="008764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NPSA/2007/16.  Type Alert.  Early identification of failure to act on radiological imaging reports.  NPSA Safety Alert 16.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http://www.nrls.npsa.nhs.uk/resources/?EntryId45=59817</w:t>
        </w:r>
      </w:hyperlink>
    </w:p>
    <w:p w14:paraId="2566B535" w14:textId="77777777" w:rsidR="008764F8" w:rsidRDefault="008764F8" w:rsidP="008764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Royal College of Radiologists. Standards for the communication of radiological reports and fail-safe alert notification.  London: The Royal College of Radiologists, 2016. Ref No.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BFCR(</w:t>
      </w:r>
      <w:proofErr w:type="gramEnd"/>
      <w:r>
        <w:rPr>
          <w:rFonts w:ascii="Arial" w:hAnsi="Arial" w:cs="Arial"/>
          <w:color w:val="343434"/>
          <w:sz w:val="23"/>
          <w:szCs w:val="23"/>
        </w:rPr>
        <w:t>16)4 </w:t>
      </w:r>
      <w:hyperlink r:id="rId6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https://www.rcr.ac.uk/system/files/publication/field_publication_files/bfcr164_failsafe.pdf</w:t>
        </w:r>
      </w:hyperlink>
    </w:p>
    <w:p w14:paraId="70428A24" w14:textId="77777777" w:rsidR="008764F8" w:rsidRDefault="008764F8" w:rsidP="008764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Duncan, K.A., Drinkwater, K.J., Dugar, N., Howlett, D.C., of Radiologists' Clinical, T.R.C. and Radiology Audit Committee, 2016. Audit of radiology communication systems for critical, urgent, and unexpected significant findings. Clinical radiology, 71(3), pp.265-270.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https://www.ncbi.nlm.nih.gov/pubmed/26738965</w:t>
        </w:r>
      </w:hyperlink>
    </w:p>
    <w:p w14:paraId="43BA89C1" w14:textId="77777777" w:rsidR="008764F8" w:rsidRDefault="008764F8" w:rsidP="008764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O'Connor, S.D., Dalal, A.K., Sahni, V.A., Lacson, R. and Khorasani, R., 2016. Does integrating nonurgent, clinically significant radiology alerts within the electronic health record impact closed-loop communication and follow-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up?.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Journal of the American Medical Informatics Association: JAMIA, 23(2), pp.333-338. </w:t>
      </w:r>
      <w:hyperlink r:id="rId8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https://www.ncbi.nlm.nih.gov/labs/articles/26335982/</w:t>
        </w:r>
      </w:hyperlink>
    </w:p>
    <w:p w14:paraId="6643828F" w14:textId="77777777" w:rsidR="008764F8" w:rsidRDefault="008764F8" w:rsidP="008764F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46F492CC" w14:textId="77777777" w:rsidR="008764F8" w:rsidRDefault="008764F8" w:rsidP="008764F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Organising this audit, delivering the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report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carrying out the action plan is the responsibility of the clinical director and radiology services manager.</w:t>
      </w:r>
    </w:p>
    <w:p w14:paraId="2FB076B3" w14:textId="77777777" w:rsidR="008764F8" w:rsidRDefault="008764F8" w:rsidP="008764F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1FC67BA9" w14:textId="77777777" w:rsidR="008764F8" w:rsidRDefault="008764F8" w:rsidP="008764F8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Dr A L Chang, adapted from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BFCR(</w:t>
      </w:r>
      <w:proofErr w:type="gramEnd"/>
      <w:r>
        <w:rPr>
          <w:rFonts w:ascii="Arial" w:hAnsi="Arial" w:cs="Arial"/>
          <w:color w:val="343434"/>
          <w:sz w:val="23"/>
          <w:szCs w:val="23"/>
        </w:rPr>
        <w:t>16)4</w:t>
      </w:r>
    </w:p>
    <w:p w14:paraId="1C82B293" w14:textId="77777777" w:rsidR="008764F8" w:rsidRDefault="008764F8" w:rsidP="008764F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5D09835F" w14:textId="77777777" w:rsidR="008764F8" w:rsidRDefault="008764F8" w:rsidP="008764F8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Saturday 20 May 2017</w:t>
      </w:r>
    </w:p>
    <w:p w14:paraId="5101C8C6" w14:textId="77777777" w:rsidR="008764F8" w:rsidRDefault="008764F8" w:rsidP="008764F8">
      <w:pPr>
        <w:rPr>
          <w:rFonts w:ascii="Times New Roman" w:hAnsi="Times New Roman" w:cs="Times New Roman"/>
          <w:sz w:val="24"/>
          <w:szCs w:val="24"/>
        </w:rPr>
      </w:pPr>
    </w:p>
    <w:p w14:paraId="4C803809" w14:textId="77777777" w:rsidR="008764F8" w:rsidRDefault="008764F8" w:rsidP="008764F8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6DF27E85" w14:textId="77777777" w:rsidR="008764F8" w:rsidRDefault="008764F8" w:rsidP="008764F8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Saturday 13 May 2017</w:t>
      </w:r>
    </w:p>
    <w:p w14:paraId="19E1E8A4" w14:textId="41235894" w:rsidR="00532AAF" w:rsidRDefault="00532AAF" w:rsidP="008764F8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53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6642"/>
    <w:multiLevelType w:val="multilevel"/>
    <w:tmpl w:val="5D54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673E9"/>
    <w:multiLevelType w:val="multilevel"/>
    <w:tmpl w:val="FB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2248">
    <w:abstractNumId w:val="1"/>
  </w:num>
  <w:num w:numId="2" w16cid:durableId="133314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F"/>
    <w:rsid w:val="004071D8"/>
    <w:rsid w:val="00532AAF"/>
    <w:rsid w:val="008764F8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943A"/>
  <w15:chartTrackingRefBased/>
  <w15:docId w15:val="{75F2F441-9757-4C37-996A-539A7C0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ate-display-single">
    <w:name w:val="date-display-single"/>
    <w:basedOn w:val="DefaultParagraphFont"/>
    <w:rsid w:val="00532AAF"/>
  </w:style>
  <w:style w:type="character" w:styleId="Emphasis">
    <w:name w:val="Emphasis"/>
    <w:basedOn w:val="DefaultParagraphFont"/>
    <w:uiPriority w:val="20"/>
    <w:qFormat/>
    <w:rsid w:val="008764F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6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1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24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918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4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5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70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16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525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2355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00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labs/articles/26335982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6738965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ystem/files/publication/field_publication_files/bfcr164_failsafe.pdf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nrls.npsa.nhs.uk/resources/?EntryId45=598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4387D802-5AE9-4E17-A4D5-C469C1A0E73A}"/>
</file>

<file path=customXml/itemProps2.xml><?xml version="1.0" encoding="utf-8"?>
<ds:datastoreItem xmlns:ds="http://schemas.openxmlformats.org/officeDocument/2006/customXml" ds:itemID="{7E85916E-F9E7-4B83-9AD3-87C69EE87F78}"/>
</file>

<file path=customXml/itemProps3.xml><?xml version="1.0" encoding="utf-8"?>
<ds:datastoreItem xmlns:ds="http://schemas.openxmlformats.org/officeDocument/2006/customXml" ds:itemID="{A0404525-6342-45BA-A7B8-38871C34A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2023-10-05T14:09:00Z</dcterms:created>
  <dcterms:modified xsi:type="dcterms:W3CDTF">2023-10-09T10:38:00Z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