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748C" w14:textId="77777777" w:rsidR="003F4B5D" w:rsidRDefault="003F4B5D" w:rsidP="003F4B5D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Audit of </w:t>
      </w:r>
      <w:proofErr w:type="spellStart"/>
      <w:r>
        <w:rPr>
          <w:rFonts w:ascii="Arial" w:hAnsi="Arial" w:cs="Arial"/>
          <w:color w:val="007CBE"/>
          <w:spacing w:val="-15"/>
          <w:sz w:val="50"/>
          <w:szCs w:val="50"/>
        </w:rPr>
        <w:t>Tomotherapy</w:t>
      </w:r>
      <w:proofErr w:type="spellEnd"/>
      <w:r>
        <w:rPr>
          <w:rFonts w:ascii="Arial" w:hAnsi="Arial" w:cs="Arial"/>
          <w:color w:val="007CBE"/>
          <w:spacing w:val="-15"/>
          <w:sz w:val="50"/>
          <w:szCs w:val="50"/>
        </w:rPr>
        <w:t xml:space="preserve"> IMRT in the management of Soft Tissue Sarcoma at the Northern Centre for Cancer Care, Freeman Hospital</w:t>
      </w:r>
    </w:p>
    <w:p w14:paraId="14DB2C16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7371206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Retrospective review of patients treated with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tomotherapy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for soft tissue sarcomas of the extremities and assessing local recurrence rates against international published data. </w:t>
      </w:r>
    </w:p>
    <w:p w14:paraId="56BB3556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Comparison of dosimetry data against currently ongoing Phase II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IMRiS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clinical trial.</w:t>
      </w:r>
    </w:p>
    <w:p w14:paraId="66FA172E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35831FB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Radiotherapy plays an important role in the treatment of soft tissue sarcomas (STS). IMRT is an advanced radiotherapy technique which enables delivery of a highly conformal dose to the target whilst sparing surrounding normal tissue. In the UK, a phase II clinical trial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IMRiS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) is currently assessing the feasibility, efficacy and toxicity of IMRT in patients with bone and soft tissue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sarcomas.The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NCCC was one of the first 2 NHS centres in the UK to commission 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Tomotherapy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planning and delivery unit. Since 2009, all STS identified at the North of England Bone and Soft Tissue Sarcoma MDT as requiring radiotherapy have been treated with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Tomotherapy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based IMRT, as this was considered a distinctive solution to treating long treatment fields with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IMRT.Treatment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target volumes and organ at risk delineation was done as per local protocol - for limb sarcomas, this matched the Vortex protocol.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Pre operative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radiotherapy was delivered using 50Gy in 25 fractions. The post operative dose consisted of 60Gy in 2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fractions delivered in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two phase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treatment. In recent years, we have delivered the post operative dose with a concurrent phase 1 and 2 technique.</w:t>
      </w:r>
    </w:p>
    <w:p w14:paraId="09821DBD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We have undergone a retrospective review of patients treated using our local protocol between 2009-2017. The primary aim of this study is to assess our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5 year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local control rates compared to rates from modern series. Secondary aim is to evaluate if planning target volumes and organs at risk dose constraints from our series meet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IMRiS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 requirements.</w:t>
      </w:r>
    </w:p>
    <w:p w14:paraId="5FBB8DEF" w14:textId="77777777" w:rsidR="00F55B69" w:rsidRDefault="00F55B69" w:rsidP="00F55B6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9410575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E7B281B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1) 5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yr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local recurrence rates from international published series:</w:t>
      </w:r>
    </w:p>
    <w:p w14:paraId="25BE5C0B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   a) O'Sullivan, et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al  (</w:t>
      </w:r>
      <w:proofErr w:type="gramEnd"/>
      <w:r>
        <w:rPr>
          <w:rFonts w:ascii="Arial" w:hAnsi="Arial" w:cs="Arial"/>
          <w:color w:val="343434"/>
          <w:sz w:val="23"/>
          <w:szCs w:val="23"/>
        </w:rPr>
        <w:t>2013), Phase 2 study of preoperative image-guided intensity-modulated radiation therapy to reduce wound and combined modality morbidities in lower extremity soft tissue sarcoma. Cancer, 119: 1878–1884. doi:10.1002/cncr.27951</w:t>
      </w:r>
    </w:p>
    <w:p w14:paraId="12DDC95F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   b) Folkert MR, Singer S, Brennan MF, et al. Comparison of Local Recurrence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With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Conventional and Intensity-Modulated Radiation Therapy for Primary Soft-Tissue </w:t>
      </w:r>
      <w:r>
        <w:rPr>
          <w:rFonts w:ascii="Arial" w:hAnsi="Arial" w:cs="Arial"/>
          <w:color w:val="343434"/>
          <w:sz w:val="23"/>
          <w:szCs w:val="23"/>
        </w:rPr>
        <w:lastRenderedPageBreak/>
        <w:t>Sarcomas of the Extremity. Journal of Clinical Oncology. 2014;32(29):3236-3241. doi:10.1200/JCO.2013.53.9452. </w:t>
      </w:r>
    </w:p>
    <w:p w14:paraId="6182FDE7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2) Phase II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IMRis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clinical trial PTV and OAR dose constraints </w:t>
      </w:r>
    </w:p>
    <w:p w14:paraId="79537030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103E983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5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yr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local recurrence rates to be comparable to international published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data</w:t>
      </w:r>
      <w:proofErr w:type="gramEnd"/>
    </w:p>
    <w:p w14:paraId="5E21F4AB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100% of patients to achieve dose constraints of phase II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IMRis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clinical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trial</w:t>
      </w:r>
      <w:proofErr w:type="gramEnd"/>
    </w:p>
    <w:p w14:paraId="57B43928" w14:textId="77777777" w:rsidR="00F55B69" w:rsidRDefault="00F55B69" w:rsidP="00F55B6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801A918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2C0D756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gramStart"/>
      <w:r>
        <w:rPr>
          <w:rFonts w:ascii="Arial" w:hAnsi="Arial" w:cs="Arial"/>
          <w:color w:val="343434"/>
          <w:sz w:val="23"/>
          <w:szCs w:val="23"/>
        </w:rPr>
        <w:t>5 year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local recurrence rates</w:t>
      </w:r>
    </w:p>
    <w:p w14:paraId="2B11BB03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PTV dose constraints:</w:t>
      </w:r>
    </w:p>
    <w:p w14:paraId="6240217A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High dose PTV (PTV_6000/ PTV_6600) D98%&gt;90%, D95%&gt;95%, D50%-100% of dose, D5% &lt; 105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% 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D2% &lt;107%</w:t>
      </w:r>
    </w:p>
    <w:p w14:paraId="515138C9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Low dose PTV (PTV_5220/PTV_5350) D98%&gt;90%, D95%&gt;95%, D50% -100% +/- 1Gy, avoid hotspots</w:t>
      </w:r>
    </w:p>
    <w:p w14:paraId="33FC4D57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OARS </w:t>
      </w:r>
    </w:p>
    <w:p w14:paraId="712FBFAB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1) Normal tissue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corridoe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V20Gy &lt;50%</w:t>
      </w:r>
    </w:p>
    <w:p w14:paraId="4FD904BF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Mean femur dose (whole bone) &lt;40Gy</w:t>
      </w:r>
    </w:p>
    <w:p w14:paraId="5397F684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3) Femoral head/neck mean dose &lt;40Gy</w:t>
      </w:r>
    </w:p>
    <w:p w14:paraId="07D90BB6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2CA2EBDB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13F06E1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1)Patient Demographics - Age, Sex, Date of diagnosis, Date of surgery, Dates of radiotherapy (pre/post op), dates of recurrence and pattern of recurrence, dates of death and last follow up</w:t>
      </w:r>
    </w:p>
    <w:p w14:paraId="69F7A2CD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2) Tumour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Charactheristics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- Primary site, size of tumour (&lt;10 or &gt;=10cm), Grade, Histological subtypes </w:t>
      </w:r>
    </w:p>
    <w:p w14:paraId="5C2D9419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3) Dosimetry data as described above</w:t>
      </w:r>
    </w:p>
    <w:p w14:paraId="5B977186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BEB17D7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Patients treated with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tomotherapy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IMRT between March 2009-October 2017</w:t>
      </w:r>
    </w:p>
    <w:p w14:paraId="64FE7E1A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23893F9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​Review of local practice and radiotherapy planning process. Review of relationship of local recurrences to PTV. </w:t>
      </w:r>
    </w:p>
    <w:p w14:paraId="1F9179D9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2AFC2AC3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70145C5" w14:textId="77777777" w:rsidR="00F55B69" w:rsidRDefault="00F55B69" w:rsidP="00F55B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A Study of IMRT in Primary Bone and Soft Tissue Sarcoma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IMRiS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-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https://clinicaltrials.gov/ct2/show/record/NCT02520128</w:t>
        </w:r>
      </w:hyperlink>
    </w:p>
    <w:p w14:paraId="76DE629E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2) O'Sullivan, et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al  (</w:t>
      </w:r>
      <w:proofErr w:type="gramEnd"/>
      <w:r>
        <w:rPr>
          <w:rFonts w:ascii="Arial" w:hAnsi="Arial" w:cs="Arial"/>
          <w:color w:val="343434"/>
          <w:sz w:val="23"/>
          <w:szCs w:val="23"/>
        </w:rPr>
        <w:t>2013), Phase 2 study of preoperative image-guided intensity-modulated radiation therapy to reduce wound and combined modality morbidities in lower extremity soft tissue sarcoma. Cancer, 119: 1878–1884. doi:10.1002/cncr.27951</w:t>
      </w:r>
    </w:p>
    <w:p w14:paraId="4C7A2F40" w14:textId="77777777" w:rsidR="00F55B69" w:rsidRDefault="00F55B69" w:rsidP="00F55B69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3) Folkert MR, Singer S, Brennan MF, et al. Comparison of Local Recurrence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With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Conventional and Intensity-Modulated Radiation Therapy for Primary Soft-Tissue Sarcomas of the Extremity. Journal of Clinical Oncology. 2014;32(29):3236-3241. doi:10.1200/JCO.2013.53.9452. </w:t>
      </w:r>
    </w:p>
    <w:p w14:paraId="06737ACD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73AC811" w14:textId="77777777" w:rsidR="00F55B69" w:rsidRDefault="00F55B69" w:rsidP="00F55B6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Jayshree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Veeratterapillay</w:t>
      </w:r>
      <w:proofErr w:type="spellEnd"/>
    </w:p>
    <w:p w14:paraId="4519F37D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0F9EEEE9" w14:textId="77777777" w:rsidR="00F55B69" w:rsidRDefault="00F55B69" w:rsidP="00F55B6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Anthony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Waton</w:t>
      </w:r>
      <w:proofErr w:type="spellEnd"/>
    </w:p>
    <w:p w14:paraId="5F4014B8" w14:textId="77777777" w:rsidR="00F55B69" w:rsidRDefault="00F55B69" w:rsidP="00F55B6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Judith Mott</w:t>
      </w:r>
    </w:p>
    <w:p w14:paraId="3867B9E6" w14:textId="77777777" w:rsidR="00F55B69" w:rsidRDefault="00F55B69" w:rsidP="00F55B6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Tracy Wintle</w:t>
      </w:r>
    </w:p>
    <w:p w14:paraId="7E538B56" w14:textId="77777777" w:rsidR="00F55B69" w:rsidRDefault="00F55B69" w:rsidP="00F55B6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Daniela Lee</w:t>
      </w:r>
    </w:p>
    <w:p w14:paraId="661559D3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C23EFF5" w14:textId="77777777" w:rsidR="00F55B69" w:rsidRDefault="00F55B69" w:rsidP="00F55B6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14 March 2020</w:t>
      </w:r>
    </w:p>
    <w:p w14:paraId="69B970F4" w14:textId="77777777" w:rsidR="00F55B69" w:rsidRDefault="00F55B69" w:rsidP="00F55B69">
      <w:pPr>
        <w:rPr>
          <w:rFonts w:ascii="Times New Roman" w:hAnsi="Times New Roman" w:cs="Times New Roman"/>
          <w:sz w:val="24"/>
          <w:szCs w:val="24"/>
        </w:rPr>
      </w:pPr>
    </w:p>
    <w:p w14:paraId="0A2F3083" w14:textId="77777777" w:rsidR="00F55B69" w:rsidRDefault="00F55B69" w:rsidP="00F55B6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F64CC55" w14:textId="77777777" w:rsidR="00F55B69" w:rsidRDefault="00F55B69" w:rsidP="00F55B6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26 February 2018</w:t>
      </w:r>
    </w:p>
    <w:p w14:paraId="7C0A2111" w14:textId="631E1A13" w:rsidR="000D3E1E" w:rsidRDefault="000D3E1E" w:rsidP="00F55B6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C1C2B"/>
    <w:multiLevelType w:val="multilevel"/>
    <w:tmpl w:val="910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97341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3F4B5D"/>
    <w:rsid w:val="00F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58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29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303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882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74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nicaltrials.gov/ct2/show/record/NCT0252012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3" ma:contentTypeDescription="Create a new document." ma:contentTypeScope="" ma:versionID="9f8184568d92aec04a0a145cc1e0126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D5AC36F-993F-4CDC-A57B-53A833B9B432}"/>
</file>

<file path=customXml/itemProps2.xml><?xml version="1.0" encoding="utf-8"?>
<ds:datastoreItem xmlns:ds="http://schemas.openxmlformats.org/officeDocument/2006/customXml" ds:itemID="{B8A0AFA3-AFE5-489C-8CBD-88C7E8B0EAA8}"/>
</file>

<file path=customXml/itemProps3.xml><?xml version="1.0" encoding="utf-8"?>
<ds:datastoreItem xmlns:ds="http://schemas.openxmlformats.org/officeDocument/2006/customXml" ds:itemID="{D875BA71-A65D-4539-A18D-B7D0681AF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4</cp:revision>
  <dcterms:created xsi:type="dcterms:W3CDTF">2023-10-05T14:15:00Z</dcterms:created>
  <dcterms:modified xsi:type="dcterms:W3CDTF">2023-10-06T10:51:00Z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