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ADA2" w14:textId="77777777" w:rsidR="00213F3D" w:rsidRPr="00213F3D" w:rsidRDefault="00213F3D" w:rsidP="00213F3D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213F3D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Chest Radiographs: Skin Entrance Surface Dose and Film Radiographic Quality</w:t>
      </w:r>
    </w:p>
    <w:p w14:paraId="679E955E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9D52358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Skin dose and film quality of chest radiographs.</w:t>
      </w:r>
    </w:p>
    <w:p w14:paraId="10B9CBE6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2D003BB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Chest radiography is one of the most frequently performed and repeated radiographic examinations [1,2,3]. Reduction of patient radiation exposure is desirable and exposure factors should be set as low as reasonably achievable to minimise entrance surface doses (air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kerma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to below 0.15mGy whilst maintaining diagnostic radiographic quality.</w:t>
      </w:r>
    </w:p>
    <w:p w14:paraId="412BFA38" w14:textId="77777777" w:rsidR="00213F3D" w:rsidRDefault="00213F3D" w:rsidP="00213F3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F2B15A7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2EA834E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 locally agreed standard based on the National Diagnostic Reference Level (NDRL) for chest radiographs</w:t>
      </w:r>
    </w:p>
    <w:p w14:paraId="39BC26CC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PA CXR exposures should aim to give a dose area product (DAP) dose of less than 0.1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/cm2 or Entrance Skin Dose (ESD) of 0.15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/cm2 [4]</w:t>
      </w:r>
    </w:p>
    <w:p w14:paraId="02292353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F3CD801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≥75% PA CXR DAP &lt;0.1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/cm2 or ESD of &lt;0.15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mGy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/cm2 (in line with the NDRL at the 3rd quartile)</w:t>
      </w:r>
    </w:p>
    <w:p w14:paraId="5C3788B0" w14:textId="77777777" w:rsidR="00213F3D" w:rsidRDefault="00213F3D" w:rsidP="00213F3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983AF1D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BE1C9F2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 of PA chest radiographs which meet the criteria set out in the standard.</w:t>
      </w:r>
    </w:p>
    <w:p w14:paraId="100D1DA9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237A094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radiograph record:</w:t>
      </w:r>
    </w:p>
    <w:p w14:paraId="0B1832D9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A patient identifier</w:t>
      </w:r>
    </w:p>
    <w:p w14:paraId="3A636395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An indication of the size of the patient (large,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medium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small)</w:t>
      </w:r>
    </w:p>
    <w:p w14:paraId="11F0202D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Dose Area Product (or Entrance Skin Dose)</w:t>
      </w:r>
    </w:p>
    <w:p w14:paraId="440F180B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an automatic exposure system was used</w:t>
      </w:r>
    </w:p>
    <w:p w14:paraId="121A3298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room in which the exposure was made</w:t>
      </w:r>
    </w:p>
    <w:p w14:paraId="1213A778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Anonymised code for the radiographer</w:t>
      </w:r>
    </w:p>
    <w:p w14:paraId="170C6D8E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Film quality, assessed according to CEC Quality Criteria [3]</w:t>
      </w:r>
    </w:p>
    <w:p w14:paraId="52D39496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9F81A95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chest radiographs.</w:t>
      </w:r>
    </w:p>
    <w:p w14:paraId="5E2082AB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041D156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Present the results at a departmental audit meeting</w:t>
      </w:r>
    </w:p>
    <w:p w14:paraId="18088359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Discuss improvements to technique/equipment</w:t>
      </w:r>
    </w:p>
    <w:p w14:paraId="19A39C2A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4AABEE4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Automated or manual dose recording</w:t>
      </w:r>
    </w:p>
    <w:p w14:paraId="1569FD2F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RIS-PACS review</w:t>
      </w:r>
    </w:p>
    <w:p w14:paraId="1E22AB13" w14:textId="77777777" w:rsidR="00213F3D" w:rsidRDefault="00213F3D" w:rsidP="00213F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Radiographer/Radiologist (3 hours to assess images and dose data)</w:t>
      </w:r>
    </w:p>
    <w:p w14:paraId="3309B7D1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6DDA472" w14:textId="77777777" w:rsidR="00213F3D" w:rsidRDefault="00213F3D" w:rsidP="00213F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Royal College of Radiologists. RCR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Making the Best Use of Clinical Radiology, 8th edition. London: RCR, 2017. 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https://www.irefer.org.uk/</w:t>
        </w:r>
      </w:hyperlink>
    </w:p>
    <w:p w14:paraId="4FFA62E2" w14:textId="77777777" w:rsidR="00213F3D" w:rsidRDefault="00213F3D" w:rsidP="00213F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Doses to Patients from Radiographic and Fluoroscopic X-ray Imaging Procedures in the UK - 2010 Review (Radiation Protection Division; Health Protection Agency).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https://assets.publishing.service.gov.uk/government/uploads/system/uploads/attachment_data/file/342780/HPA-CRCE-034_Doses_to_patients_from_radiographic_and_fluoroscopic_x_ray_imaging_procedures_2010.pdf</w:t>
        </w:r>
      </w:hyperlink>
    </w:p>
    <w:p w14:paraId="53B05E27" w14:textId="77777777" w:rsidR="00213F3D" w:rsidRDefault="00213F3D" w:rsidP="00213F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European Guidelines on Quality Criteria for Diagnostic images 1996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ftp://ftp.cordis.lu/pub/fp5-euratom/docs/eur16260.pdf</w:t>
        </w:r>
      </w:hyperlink>
    </w:p>
    <w:p w14:paraId="3018E725" w14:textId="77777777" w:rsidR="00213F3D" w:rsidRDefault="00213F3D" w:rsidP="00213F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Public Health England. National Diagnostic Reference Levels (NDRLs) from 19 August 2019 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https://www.gov.uk/government/publications/diagnostic-radiology-national-diagnostic-reference-levels-ndrls/ndrl</w:t>
        </w:r>
      </w:hyperlink>
      <w:r>
        <w:rPr>
          <w:rFonts w:ascii="Arial" w:hAnsi="Arial" w:cs="Arial"/>
          <w:color w:val="343434"/>
          <w:sz w:val="23"/>
          <w:szCs w:val="23"/>
        </w:rPr>
        <w:t>  </w:t>
      </w:r>
    </w:p>
    <w:p w14:paraId="46683C46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7DD2E5C" w14:textId="77777777" w:rsidR="00213F3D" w:rsidRDefault="00213F3D" w:rsidP="00213F3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D Remedios 2019</w:t>
      </w:r>
    </w:p>
    <w:p w14:paraId="6B484C98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FAF66DE" w14:textId="77777777" w:rsidR="00213F3D" w:rsidRDefault="00213F3D" w:rsidP="00213F3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lastRenderedPageBreak/>
        <w:t>Friday 14 March 2008</w:t>
      </w:r>
    </w:p>
    <w:p w14:paraId="170A3209" w14:textId="77777777" w:rsidR="00213F3D" w:rsidRDefault="00213F3D" w:rsidP="00213F3D">
      <w:pPr>
        <w:rPr>
          <w:rFonts w:ascii="Times New Roman" w:hAnsi="Times New Roman" w:cs="Times New Roman"/>
          <w:sz w:val="24"/>
          <w:szCs w:val="24"/>
        </w:rPr>
      </w:pPr>
    </w:p>
    <w:p w14:paraId="7D2E3F82" w14:textId="77777777" w:rsidR="00213F3D" w:rsidRDefault="00213F3D" w:rsidP="00213F3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2475FED" w14:textId="77777777" w:rsidR="00213F3D" w:rsidRDefault="00213F3D" w:rsidP="00213F3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19 January 2020</w:t>
      </w:r>
    </w:p>
    <w:p w14:paraId="36428947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4E7D"/>
    <w:multiLevelType w:val="multilevel"/>
    <w:tmpl w:val="8F78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8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3D"/>
    <w:rsid w:val="00213F3D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496A"/>
  <w15:chartTrackingRefBased/>
  <w15:docId w15:val="{08BEFABF-961D-4FD9-9F96-01E13C4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3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3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1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13F3D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21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8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9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22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1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6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iagnostic-radiology-national-diagnostic-reference-levels-ndrls/ndr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tp://ftp.cordis.lu/pub/fp5-euratom/docs/eur16260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342780/HPA-CRCE-034_Doses_to_patients_from_radiographic_and_fluoroscopic_x_ray_imaging_procedures_2010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irefer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68AA5BA6-D8C7-4B8E-A6E3-AB5D4B659DB5}"/>
</file>

<file path=customXml/itemProps2.xml><?xml version="1.0" encoding="utf-8"?>
<ds:datastoreItem xmlns:ds="http://schemas.openxmlformats.org/officeDocument/2006/customXml" ds:itemID="{41993ABE-D959-4ACC-9CC9-AACA15003D2D}"/>
</file>

<file path=customXml/itemProps3.xml><?xml version="1.0" encoding="utf-8"?>
<ds:datastoreItem xmlns:ds="http://schemas.openxmlformats.org/officeDocument/2006/customXml" ds:itemID="{FC8021AE-D850-4A16-8418-49EDCF166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2023-10-09T13:22:00Z</dcterms:created>
  <dcterms:modified xsi:type="dcterms:W3CDTF">2023-10-09T13:23:00Z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