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0764" w14:textId="77777777" w:rsidR="005E260D" w:rsidRDefault="005E260D" w:rsidP="005E260D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>Salivary duct intervention performance</w:t>
      </w:r>
    </w:p>
    <w:p w14:paraId="6748E995" w14:textId="77777777" w:rsidR="006D6566" w:rsidRDefault="006D6566" w:rsidP="006D656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7335F6B5" w14:textId="77777777" w:rsidR="006D6566" w:rsidRDefault="006D6566" w:rsidP="006D656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local performance of salivary duct intervention.</w:t>
      </w:r>
    </w:p>
    <w:p w14:paraId="78466813" w14:textId="77777777" w:rsidR="006D6566" w:rsidRDefault="006D6566" w:rsidP="006D656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40139784" w14:textId="77777777" w:rsidR="006D6566" w:rsidRDefault="006D6566" w:rsidP="006D656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Salivary duct intervention is a minimally invasive technique for the parotid and sub-mandibular gland. The main indications are for benign salivary gland obstruction, caused either by salivary calculi (75%) or duct strictures (25%). The procedure is generally very well tolerated and when successful can often spare the patient invasive surgery [ref 1.]. Few centres have developed this expertise, and there is a steep learning curve, but it is important to audit early performance to determine whether acceptable standards are being reached.</w:t>
      </w:r>
    </w:p>
    <w:p w14:paraId="4AA86B1C" w14:textId="77777777" w:rsidR="006D6566" w:rsidRDefault="006D6566" w:rsidP="006D656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There is a reasonable failure rate, which may be due to the absence of a diagnostic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sialogram</w:t>
      </w:r>
      <w:proofErr w:type="spellEnd"/>
      <w:r>
        <w:rPr>
          <w:rFonts w:ascii="Arial" w:hAnsi="Arial" w:cs="Arial"/>
          <w:color w:val="343434"/>
          <w:sz w:val="23"/>
          <w:szCs w:val="23"/>
        </w:rPr>
        <w:t>, the incorrect selection of patients who are clinically or radiologically fit for the procedure, or due to technical factors.</w:t>
      </w:r>
    </w:p>
    <w:p w14:paraId="3A21E7F1" w14:textId="77777777" w:rsidR="006D6566" w:rsidRDefault="006D6566" w:rsidP="006D656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Developing and adherence to an appropriate imaging protocol can help to minimise unnecessary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procedures, and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can guide the appropriateness of the investigation in future patients.</w:t>
      </w:r>
    </w:p>
    <w:p w14:paraId="41CBC910" w14:textId="77777777" w:rsidR="006D6566" w:rsidRDefault="006D6566" w:rsidP="006D656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Guidance on how to perform the procedure is given in an RCR 2008 poster: Arthurs OJ et al., “Salivary duct intervention: a pictorial review”.</w:t>
      </w:r>
    </w:p>
    <w:p w14:paraId="41ED53B6" w14:textId="77777777" w:rsidR="006D6566" w:rsidRDefault="006D6566" w:rsidP="006D656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 local protocol could involve:</w:t>
      </w:r>
    </w:p>
    <w:p w14:paraId="48B15258" w14:textId="77777777" w:rsidR="006D6566" w:rsidRDefault="006D6566" w:rsidP="006D656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1. All patients should receive a standard pre-interventional diagnostic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sialogram</w:t>
      </w:r>
      <w:proofErr w:type="spellEnd"/>
      <w:r>
        <w:rPr>
          <w:rFonts w:ascii="Arial" w:hAnsi="Arial" w:cs="Arial"/>
          <w:color w:val="343434"/>
          <w:sz w:val="23"/>
          <w:szCs w:val="23"/>
        </w:rPr>
        <w:t>.</w:t>
      </w:r>
    </w:p>
    <w:p w14:paraId="55B0E304" w14:textId="77777777" w:rsidR="006D6566" w:rsidRDefault="006D6566" w:rsidP="006D656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Success at cannulating the duct (a straight catheter is often better for submandibular access (Wharton’s duct), whereas a curved catheter often better for parotid (Stenson’s duct).</w:t>
      </w:r>
    </w:p>
    <w:p w14:paraId="7E02039D" w14:textId="77777777" w:rsidR="006D6566" w:rsidRDefault="006D6566" w:rsidP="006D656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Use of dilators for duct access</w:t>
      </w:r>
    </w:p>
    <w:p w14:paraId="2E51A535" w14:textId="77777777" w:rsidR="006D6566" w:rsidRDefault="006D6566" w:rsidP="006D656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4. Ability to engage stone in basket and retrieve successfully.</w:t>
      </w:r>
    </w:p>
    <w:p w14:paraId="0D3BAFCF" w14:textId="77777777" w:rsidR="006D6566" w:rsidRDefault="006D6566" w:rsidP="006D656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5. Ability to pass guidewire through stricture and dilate successfully.</w:t>
      </w:r>
    </w:p>
    <w:p w14:paraId="45D44B9A" w14:textId="77777777" w:rsidR="006D6566" w:rsidRDefault="006D6566" w:rsidP="006D656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6. All patients should receive a follow up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sialogram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following a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3 month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interval.</w:t>
      </w:r>
    </w:p>
    <w:p w14:paraId="7C651DA5" w14:textId="77777777" w:rsidR="006D6566" w:rsidRDefault="006D6566" w:rsidP="006D6566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4E2F46D1" w14:textId="77777777" w:rsidR="006D6566" w:rsidRDefault="006D6566" w:rsidP="006D656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06BC8DC8" w14:textId="77777777" w:rsidR="006D6566" w:rsidRDefault="006D6566" w:rsidP="006D656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There are no national standards published. Previous published literature states a success rate of 60 – 70 % using minimally invasive therapy for stones (McGurk et al., 2005) and stricture (Ngu et al., 2007).</w:t>
      </w:r>
    </w:p>
    <w:p w14:paraId="0A97DA92" w14:textId="77777777" w:rsidR="006D6566" w:rsidRDefault="006D6566" w:rsidP="006D656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Success rates could be sub-divided into:</w:t>
      </w:r>
    </w:p>
    <w:p w14:paraId="7EA8CD41" w14:textId="77777777" w:rsidR="006D6566" w:rsidRDefault="006D6566" w:rsidP="006D656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1. Complete success: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sialographic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evidence of stone removal / stricture dilatation immediately following the procedure and at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3 month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follow-up imaging, with symptom improvement. </w:t>
      </w:r>
    </w:p>
    <w:p w14:paraId="2CD73BFD" w14:textId="77777777" w:rsidR="006D6566" w:rsidRDefault="006D6566" w:rsidP="006D656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Partial success: any level of technical success with symptom improvement (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e.g.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even if stone fragments remain).</w:t>
      </w:r>
    </w:p>
    <w:p w14:paraId="582518AC" w14:textId="77777777" w:rsidR="006D6566" w:rsidRDefault="006D6566" w:rsidP="006D656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3.Failure: technical failure (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e.g.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unable to access duct or dilate stricture) or no symptom improvement.</w:t>
      </w:r>
    </w:p>
    <w:p w14:paraId="22306E6E" w14:textId="77777777" w:rsidR="006D6566" w:rsidRDefault="006D6566" w:rsidP="006D656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Complication rates should be monitored, including pain, bleeding, infection rate and failure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e.g.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basket impaction.</w:t>
      </w:r>
    </w:p>
    <w:p w14:paraId="370933AD" w14:textId="77777777" w:rsidR="006D6566" w:rsidRDefault="006D6566" w:rsidP="006D656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771032C9" w14:textId="77777777" w:rsidR="006D6566" w:rsidRDefault="006D6566" w:rsidP="006D656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70% success rate.</w:t>
      </w:r>
    </w:p>
    <w:p w14:paraId="4379390A" w14:textId="77777777" w:rsidR="006D6566" w:rsidRDefault="006D6566" w:rsidP="006D656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Minimal complication rate (&lt;10% in small series, &lt;5% as experience progresses).</w:t>
      </w:r>
    </w:p>
    <w:p w14:paraId="1C8DFD64" w14:textId="77777777" w:rsidR="006D6566" w:rsidRDefault="006D6566" w:rsidP="006D6566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0E3EA71E" w14:textId="77777777" w:rsidR="006D6566" w:rsidRDefault="006D6566" w:rsidP="006D656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149DEFCF" w14:textId="77777777" w:rsidR="006D6566" w:rsidRDefault="006D6566" w:rsidP="006D656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Success rates of procedure.</w:t>
      </w:r>
    </w:p>
    <w:p w14:paraId="0A059DBC" w14:textId="77777777" w:rsidR="006D6566" w:rsidRDefault="006D6566" w:rsidP="006D656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1480FE5B" w14:textId="77777777" w:rsidR="006D6566" w:rsidRDefault="006D6566" w:rsidP="006D656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Assess retrospectively a series of recent investigations.</w:t>
      </w:r>
    </w:p>
    <w:p w14:paraId="33AAA05B" w14:textId="77777777" w:rsidR="006D6566" w:rsidRDefault="006D6566" w:rsidP="006D656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Record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the end result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of the procedure, whether success or failure (as defined above), and complication rates.</w:t>
      </w:r>
    </w:p>
    <w:p w14:paraId="33D69ED9" w14:textId="77777777" w:rsidR="006D6566" w:rsidRDefault="006D6566" w:rsidP="006D656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4B98B1DD" w14:textId="77777777" w:rsidR="006D6566" w:rsidRDefault="006D6566" w:rsidP="006D656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20 consecutive patients</w:t>
      </w:r>
    </w:p>
    <w:p w14:paraId="3BEC4C9E" w14:textId="77777777" w:rsidR="006D6566" w:rsidRDefault="006D6566" w:rsidP="006D656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7344215D" w14:textId="77777777" w:rsidR="006D6566" w:rsidRDefault="006D6566" w:rsidP="006D656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  Present the results of the audit to local radiographers and radiologists, to discuss the causes of procedural failure.</w:t>
      </w:r>
    </w:p>
    <w:p w14:paraId="17C0D011" w14:textId="77777777" w:rsidR="006D6566" w:rsidRDefault="006D6566" w:rsidP="006D656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  Discuss whether improvement of patient selection, or technical experience, may improve outcomes.</w:t>
      </w:r>
    </w:p>
    <w:p w14:paraId="5AFAE993" w14:textId="77777777" w:rsidR="006D6566" w:rsidRDefault="006D6566" w:rsidP="006D656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  Review and re-audit within 6 – 12 months, depending on patient frequency.</w:t>
      </w:r>
    </w:p>
    <w:p w14:paraId="66DF9E97" w14:textId="77777777" w:rsidR="006D6566" w:rsidRDefault="006D6566" w:rsidP="006D656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2BD4002A" w14:textId="77777777" w:rsidR="006D6566" w:rsidRDefault="006D6566" w:rsidP="006D656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Radiologist to review images, to identify adherence to protocol.</w:t>
      </w:r>
    </w:p>
    <w:p w14:paraId="7F172804" w14:textId="77777777" w:rsidR="006D6566" w:rsidRDefault="006D6566" w:rsidP="006D656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20 cases (of up to 10 images each) are estimated to take 2 hours.</w:t>
      </w:r>
    </w:p>
    <w:p w14:paraId="36671CB6" w14:textId="77777777" w:rsidR="006D6566" w:rsidRDefault="006D6566" w:rsidP="006D656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2CC54451" w14:textId="77777777" w:rsidR="006D6566" w:rsidRDefault="006D6566" w:rsidP="006D656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Brown JE et al. Minimally invasive radiologically guided intervention for the treatment of salivary calculi. Cardiovasc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Intervent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Radiol</w:t>
      </w:r>
      <w:proofErr w:type="spellEnd"/>
      <w:r>
        <w:rPr>
          <w:rFonts w:ascii="Arial" w:hAnsi="Arial" w:cs="Arial"/>
          <w:color w:val="343434"/>
          <w:sz w:val="23"/>
          <w:szCs w:val="23"/>
        </w:rPr>
        <w:t>. 2002; 25: 352-5.</w:t>
      </w:r>
    </w:p>
    <w:p w14:paraId="26DA94DE" w14:textId="77777777" w:rsidR="006D6566" w:rsidRDefault="006D6566" w:rsidP="006D656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McGurk M, et al., Modern management of salivary calculi. Br J Surg. 2005; 92: 107-112</w:t>
      </w:r>
    </w:p>
    <w:p w14:paraId="2A8DE064" w14:textId="77777777" w:rsidR="006D6566" w:rsidRDefault="006D6566" w:rsidP="006D656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Ngu RK et al. Salivary duct strictures: nature and incidence in benign salivary obstruction.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Dentomaxillofac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Radiol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2007; 36: 63-67</w:t>
      </w:r>
    </w:p>
    <w:p w14:paraId="1FE62AB5" w14:textId="77777777" w:rsidR="006D6566" w:rsidRDefault="006D6566" w:rsidP="006D656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5C011514" w14:textId="77777777" w:rsidR="006D6566" w:rsidRDefault="006D6566" w:rsidP="006D656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If performing significant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numbers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individuals may find this audit useful for revalidation.</w:t>
      </w:r>
    </w:p>
    <w:p w14:paraId="30928A5E" w14:textId="77777777" w:rsidR="006D6566" w:rsidRDefault="006D6566" w:rsidP="006D656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00D2F36C" w14:textId="77777777" w:rsidR="006D6566" w:rsidRDefault="006D6566" w:rsidP="006D6566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Owen Arthurs, Simon Smith. Reviewed by O Arthurs &amp; S Smith 2012. Updated for CRAC by Rebecca Greenhalgh</w:t>
      </w:r>
    </w:p>
    <w:p w14:paraId="37D11D59" w14:textId="77777777" w:rsidR="006D6566" w:rsidRDefault="006D6566" w:rsidP="006D656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6C5FB220" w14:textId="77777777" w:rsidR="006D6566" w:rsidRDefault="006D6566" w:rsidP="006D6566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 5 February 2009</w:t>
      </w:r>
    </w:p>
    <w:p w14:paraId="2E417647" w14:textId="77777777" w:rsidR="006D6566" w:rsidRDefault="006D6566" w:rsidP="006D6566">
      <w:pPr>
        <w:rPr>
          <w:rFonts w:ascii="Times New Roman" w:hAnsi="Times New Roman" w:cs="Times New Roman"/>
          <w:sz w:val="24"/>
          <w:szCs w:val="24"/>
        </w:rPr>
      </w:pPr>
    </w:p>
    <w:p w14:paraId="206356FD" w14:textId="77777777" w:rsidR="006D6566" w:rsidRDefault="006D6566" w:rsidP="006D656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1E0CEF8B" w14:textId="77777777" w:rsidR="006D6566" w:rsidRDefault="006D6566" w:rsidP="006D6566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11 September 2017</w:t>
      </w:r>
    </w:p>
    <w:p w14:paraId="19E1E8A4" w14:textId="3D1199E0" w:rsidR="00532AAF" w:rsidRDefault="00532AAF" w:rsidP="006D656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532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A2522"/>
    <w:multiLevelType w:val="multilevel"/>
    <w:tmpl w:val="7316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0673E9"/>
    <w:multiLevelType w:val="multilevel"/>
    <w:tmpl w:val="FB18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002248">
    <w:abstractNumId w:val="1"/>
  </w:num>
  <w:num w:numId="2" w16cid:durableId="85446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AF"/>
    <w:rsid w:val="004071D8"/>
    <w:rsid w:val="00532AAF"/>
    <w:rsid w:val="005E260D"/>
    <w:rsid w:val="006D6566"/>
    <w:rsid w:val="00EC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943A"/>
  <w15:chartTrackingRefBased/>
  <w15:docId w15:val="{75F2F441-9757-4C37-996A-539A7C05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2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A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AA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A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3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date-display-single">
    <w:name w:val="date-display-single"/>
    <w:basedOn w:val="DefaultParagraphFont"/>
    <w:rsid w:val="0053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20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1360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0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0274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3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7149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722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193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31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588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8818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670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8639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253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3636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7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2A26893C-4A95-4856-BBAE-080F17D5E241}"/>
</file>

<file path=customXml/itemProps2.xml><?xml version="1.0" encoding="utf-8"?>
<ds:datastoreItem xmlns:ds="http://schemas.openxmlformats.org/officeDocument/2006/customXml" ds:itemID="{1066E3A5-5F78-4138-B2F8-A75D4642632F}"/>
</file>

<file path=customXml/itemProps3.xml><?xml version="1.0" encoding="utf-8"?>
<ds:datastoreItem xmlns:ds="http://schemas.openxmlformats.org/officeDocument/2006/customXml" ds:itemID="{CCE4B331-9108-4E23-8ED7-51221E28A0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4</cp:revision>
  <dcterms:created xsi:type="dcterms:W3CDTF">2023-10-05T14:09:00Z</dcterms:created>
  <dcterms:modified xsi:type="dcterms:W3CDTF">2023-10-09T11:11:00Z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