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C388D" w14:textId="77777777" w:rsidR="00895777" w:rsidRPr="00895777" w:rsidRDefault="00895777" w:rsidP="00895777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</w:pPr>
      <w:r w:rsidRPr="00895777"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  <w:t>Positive pre-</w:t>
      </w:r>
      <w:proofErr w:type="spellStart"/>
      <w:r w:rsidRPr="00895777"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  <w:t>dictive</w:t>
      </w:r>
      <w:proofErr w:type="spellEnd"/>
      <w:r w:rsidRPr="00895777"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  <w:t xml:space="preserve"> value of pre-biopsy prostate MRI using PI-RADS v2.1</w:t>
      </w:r>
    </w:p>
    <w:p w14:paraId="5F2A2B1A" w14:textId="77777777" w:rsidR="00895777" w:rsidRDefault="00895777" w:rsidP="00895777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6FC46C85" w14:textId="77777777" w:rsidR="00895777" w:rsidRDefault="00895777" w:rsidP="0089577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The aim of this audit is to assess the positive predictive value of pre-biopsy Prostatic MRI using PI-RADS v2.1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guidance</w:t>
      </w:r>
      <w:proofErr w:type="gramEnd"/>
    </w:p>
    <w:p w14:paraId="5D840F9E" w14:textId="77777777" w:rsidR="00895777" w:rsidRDefault="00895777" w:rsidP="00895777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2E58106B" w14:textId="77777777" w:rsidR="00895777" w:rsidRDefault="00895777" w:rsidP="0089577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Prostate magnetic resonance imaging (MRI) reporting using the Prostate Imaging-Reporting and Data System (PI-RADS) v2.1 has been promulgated as the standard for prostate cancer detection and risk stratification (1).</w:t>
      </w:r>
    </w:p>
    <w:p w14:paraId="037AA18E" w14:textId="77777777" w:rsidR="00895777" w:rsidRDefault="00895777" w:rsidP="0089577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The updated version of PI-RADS v2.1 is anticipated to improve inter-reader variability,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simplify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and standardise the assessment of prostatic MRI, improve interdisciplinary communications and the detection and risk stratification of prostate MRI. However, the latest version of PI-RADS has been reported to have poorer specificity than its predecessor for diagnosing clinically significant malignancy (2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) .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This audit aimed to assess the local prostate MRI reporting accuracy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as a way to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improve its performance.</w:t>
      </w:r>
    </w:p>
    <w:p w14:paraId="12947F68" w14:textId="77777777" w:rsidR="00895777" w:rsidRDefault="00895777" w:rsidP="00895777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65E882CF" w14:textId="77777777" w:rsidR="00895777" w:rsidRDefault="00895777" w:rsidP="00895777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23EF2AB9" w14:textId="77777777" w:rsidR="00895777" w:rsidRDefault="00895777" w:rsidP="0089577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There is an absence of nationally agreed standard for the positive predictive value of MRI prostate reporting.</w:t>
      </w:r>
    </w:p>
    <w:p w14:paraId="2946C7C9" w14:textId="77777777" w:rsidR="00895777" w:rsidRDefault="00895777" w:rsidP="0089577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Westphalen et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al’s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multicentre study was chosen as the benchmark as it is a large multinational study (3449 men) with comparable patient demographics and relatively recent publication (2).</w:t>
      </w:r>
    </w:p>
    <w:p w14:paraId="1B6B35ED" w14:textId="77777777" w:rsidR="00895777" w:rsidRDefault="00895777" w:rsidP="0089577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In the study, the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positve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positive predictive value (PPV) of PI-RADS score of 3, 4, 5, and ≥4 was 15%, 39%, 72% and 49%, respectively.</w:t>
      </w:r>
    </w:p>
    <w:p w14:paraId="7B0078A5" w14:textId="77777777" w:rsidR="00895777" w:rsidRDefault="00895777" w:rsidP="00895777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5C2150F2" w14:textId="77777777" w:rsidR="00895777" w:rsidRDefault="00895777" w:rsidP="0089577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The standard for the positive predictive value of pre-biopsy MRI prostate is to be within 10% of each stratum of the benchmark for the PI-RADS category. </w:t>
      </w:r>
    </w:p>
    <w:p w14:paraId="052B2943" w14:textId="77777777" w:rsidR="00895777" w:rsidRDefault="00895777" w:rsidP="00895777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63DA9E8B" w14:textId="77777777" w:rsidR="00895777" w:rsidRDefault="00895777" w:rsidP="00895777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550124F8" w14:textId="77777777" w:rsidR="00895777" w:rsidRDefault="00895777" w:rsidP="0089577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The audit indicators will be based on the biopsy results and MRI reports:</w:t>
      </w:r>
    </w:p>
    <w:p w14:paraId="27F41C35" w14:textId="77777777" w:rsidR="00895777" w:rsidRDefault="00895777" w:rsidP="0089577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Type of biopsy (1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),  biopsy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results (2) ? If abnormal, the nature of abnormality (e.g.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malignancy ?inflammatory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change ?atypia? (3), primary Gleason grade (4), secondary Gleason grade (5), total Gleason grade (6).</w:t>
      </w:r>
    </w:p>
    <w:p w14:paraId="5AEAD620" w14:textId="77777777" w:rsidR="00895777" w:rsidRDefault="00895777" w:rsidP="0089577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 MRI report on prostatic volume (1), prostate specific antigen density (2), highest PI-RADS score in either side of the transition and peripheral zone (3,4,5,6), breakdown of the PI-RADS score (7) neurovascular bundle involvement (8), lymphadenopathy (9).</w:t>
      </w:r>
    </w:p>
    <w:p w14:paraId="7E255E4A" w14:textId="77777777" w:rsidR="00895777" w:rsidRDefault="00895777" w:rsidP="00895777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7A9F46D3" w14:textId="77777777" w:rsidR="00895777" w:rsidRDefault="00895777" w:rsidP="0089577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Inclusion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criteria :</w:t>
      </w:r>
      <w:proofErr w:type="gramEnd"/>
    </w:p>
    <w:p w14:paraId="4B6CF5ED" w14:textId="77777777" w:rsidR="00895777" w:rsidRDefault="00895777" w:rsidP="0089577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100 consecutive prostatic biopsies and the corresponding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mpMRI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prostate reports from the local radiology department with collection of the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aforementioned audit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indicators.</w:t>
      </w:r>
    </w:p>
    <w:p w14:paraId="2E2366E1" w14:textId="77777777" w:rsidR="00895777" w:rsidRDefault="00895777" w:rsidP="0089577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Exclusion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criteria :</w:t>
      </w:r>
      <w:proofErr w:type="gramEnd"/>
    </w:p>
    <w:p w14:paraId="1F2EA127" w14:textId="77777777" w:rsidR="00895777" w:rsidRDefault="00895777" w:rsidP="0089577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Patient with known prostate cancer </w:t>
      </w:r>
    </w:p>
    <w:p w14:paraId="5AE91FB8" w14:textId="77777777" w:rsidR="00895777" w:rsidRDefault="00895777" w:rsidP="00895777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3C72CBC8" w14:textId="77777777" w:rsidR="00895777" w:rsidRDefault="00895777" w:rsidP="0089577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100 consecutive patients in department</w:t>
      </w:r>
    </w:p>
    <w:p w14:paraId="1B008DC0" w14:textId="77777777" w:rsidR="00895777" w:rsidRDefault="00895777" w:rsidP="00895777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7F4ACD45" w14:textId="77777777" w:rsidR="00895777" w:rsidRDefault="00895777" w:rsidP="0089577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1. The results of this audit should be disseminated and discussed amongst the MRI reporters. Plans on how to improve compliance and consistency with PI-RADS v2.1 guidelines taken by the main audit lead.</w:t>
      </w:r>
    </w:p>
    <w:p w14:paraId="73B1DE0D" w14:textId="77777777" w:rsidR="00895777" w:rsidRDefault="00895777" w:rsidP="0089577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2. Audit results will be presented in the departmental quality improvement meeting by the one of the audit team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member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with a plan for re-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audting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in 6 months post introduction of the new recommendation or intervention.</w:t>
      </w:r>
    </w:p>
    <w:p w14:paraId="09A0A105" w14:textId="77777777" w:rsidR="00895777" w:rsidRDefault="00895777" w:rsidP="0089577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</w:t>
      </w:r>
    </w:p>
    <w:p w14:paraId="724DFFE0" w14:textId="29FC887F" w:rsidR="00895777" w:rsidRDefault="00895777" w:rsidP="00895777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noProof/>
          <w:color w:val="343434"/>
          <w:sz w:val="23"/>
          <w:szCs w:val="23"/>
        </w:rPr>
        <w:drawing>
          <wp:inline distT="0" distB="0" distL="0" distR="0" wp14:anchorId="3615033E" wp14:editId="7B1D3162">
            <wp:extent cx="285750" cy="349250"/>
            <wp:effectExtent l="0" t="0" r="0" b="0"/>
            <wp:docPr id="21015429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history="1">
        <w:r>
          <w:rPr>
            <w:rStyle w:val="Hyperlink"/>
            <w:rFonts w:ascii="Arial" w:hAnsi="Arial" w:cs="Arial"/>
            <w:b/>
            <w:bCs/>
            <w:color w:val="007CBE"/>
            <w:sz w:val="23"/>
            <w:szCs w:val="23"/>
          </w:rPr>
          <w:t>pi-rads_audit_template_.</w:t>
        </w:r>
        <w:proofErr w:type="spellStart"/>
        <w:r>
          <w:rPr>
            <w:rStyle w:val="Hyperlink"/>
            <w:rFonts w:ascii="Arial" w:hAnsi="Arial" w:cs="Arial"/>
            <w:b/>
            <w:bCs/>
            <w:color w:val="007CBE"/>
            <w:sz w:val="23"/>
            <w:szCs w:val="23"/>
          </w:rPr>
          <w:t>xlsx</w:t>
        </w:r>
      </w:hyperlink>
      <w:r>
        <w:rPr>
          <w:rStyle w:val="file-type"/>
          <w:rFonts w:ascii="Arial" w:hAnsi="Arial" w:cs="Arial"/>
          <w:color w:val="343434"/>
          <w:sz w:val="23"/>
          <w:szCs w:val="23"/>
        </w:rPr>
        <w:t>EXCEL</w:t>
      </w:r>
      <w:proofErr w:type="spellEnd"/>
      <w:r>
        <w:rPr>
          <w:rStyle w:val="file-meta"/>
          <w:rFonts w:ascii="Arial" w:hAnsi="Arial" w:cs="Arial"/>
          <w:color w:val="343434"/>
          <w:sz w:val="23"/>
          <w:szCs w:val="23"/>
        </w:rPr>
        <w:t> - </w:t>
      </w:r>
      <w:r>
        <w:rPr>
          <w:rStyle w:val="file-size"/>
          <w:rFonts w:ascii="Arial" w:hAnsi="Arial" w:cs="Arial"/>
          <w:color w:val="343434"/>
          <w:sz w:val="23"/>
          <w:szCs w:val="23"/>
        </w:rPr>
        <w:t>11.78 KB</w:t>
      </w:r>
    </w:p>
    <w:p w14:paraId="355E2405" w14:textId="77777777" w:rsidR="00895777" w:rsidRDefault="00895777" w:rsidP="00895777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7798A02A" w14:textId="77777777" w:rsidR="00895777" w:rsidRDefault="00895777" w:rsidP="0089577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(1)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Turkbey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B, Rosenkrantz AB, Haider MA, Padhani AR,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Villeirs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G, Macura KJ, et al. Prostate Imaging Reporting and Data System Version 2.1: 2019 Update of Prostate Imaging Reporting and Data System Version 2.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Eur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Urol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2019 September 01;76(3):340-351.</w:t>
      </w:r>
    </w:p>
    <w:p w14:paraId="35456EFC" w14:textId="77777777" w:rsidR="00895777" w:rsidRDefault="00895777" w:rsidP="00895777">
      <w:pPr>
        <w:pStyle w:val="NormalWeb"/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(2) Westphalen AC, McCulloch CE,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Anaokar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JM, Arora S,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Barashi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NS,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Barentsz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JO, et al. Variability of the Positive Predictive Value of PI-RADS for Prostate MRI across 26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Centers</w:t>
      </w:r>
      <w:proofErr w:type="spellEnd"/>
      <w:r>
        <w:rPr>
          <w:rFonts w:ascii="Arial" w:hAnsi="Arial" w:cs="Arial"/>
          <w:color w:val="343434"/>
          <w:sz w:val="23"/>
          <w:szCs w:val="23"/>
        </w:rPr>
        <w:t>: Experience of the Society of Abdominal Radiology Prostate Cancer Disease-focused Panel. Radiology 2020 July;296(1):76-84.</w:t>
      </w:r>
    </w:p>
    <w:p w14:paraId="43BF799C" w14:textId="77777777" w:rsidR="00895777" w:rsidRDefault="00895777" w:rsidP="00895777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23A93B20" w14:textId="77777777" w:rsidR="00895777" w:rsidRDefault="00895777" w:rsidP="00895777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Chee Khong Lim</w:t>
      </w:r>
    </w:p>
    <w:p w14:paraId="2E4E1238" w14:textId="77777777" w:rsidR="00895777" w:rsidRDefault="00895777" w:rsidP="00895777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lastRenderedPageBreak/>
        <w:t>Co-authors: </w:t>
      </w:r>
    </w:p>
    <w:p w14:paraId="041DAEC9" w14:textId="77777777" w:rsidR="00895777" w:rsidRDefault="00895777" w:rsidP="00895777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Bing Lun Chow</w:t>
      </w:r>
    </w:p>
    <w:p w14:paraId="01C71097" w14:textId="77777777" w:rsidR="00895777" w:rsidRDefault="00895777" w:rsidP="00895777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Hong-Giap Tep</w:t>
      </w:r>
    </w:p>
    <w:p w14:paraId="4CD433D7" w14:textId="77777777" w:rsidR="00895777" w:rsidRDefault="00895777" w:rsidP="00895777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proofErr w:type="spellStart"/>
      <w:r>
        <w:rPr>
          <w:rFonts w:ascii="Arial" w:hAnsi="Arial" w:cs="Arial"/>
          <w:color w:val="343434"/>
          <w:sz w:val="23"/>
          <w:szCs w:val="23"/>
        </w:rPr>
        <w:t>Soek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Mui</w:t>
      </w:r>
    </w:p>
    <w:p w14:paraId="03D5A7C9" w14:textId="77777777" w:rsidR="00895777" w:rsidRDefault="00895777" w:rsidP="00895777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36928AFC" w14:textId="77777777" w:rsidR="00895777" w:rsidRDefault="00895777" w:rsidP="00895777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Monday 12 December 2022</w:t>
      </w:r>
    </w:p>
    <w:p w14:paraId="2EEAAB88" w14:textId="77777777" w:rsidR="00895777" w:rsidRDefault="00895777" w:rsidP="00895777">
      <w:pPr>
        <w:rPr>
          <w:rFonts w:ascii="Times New Roman" w:hAnsi="Times New Roman" w:cs="Times New Roman"/>
          <w:sz w:val="24"/>
          <w:szCs w:val="24"/>
        </w:rPr>
      </w:pPr>
    </w:p>
    <w:p w14:paraId="7BC34CE8" w14:textId="77777777" w:rsidR="00895777" w:rsidRDefault="00895777" w:rsidP="00895777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0E6A4B95" w14:textId="77777777" w:rsidR="00895777" w:rsidRDefault="00895777" w:rsidP="00895777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Monday 12 December 2022</w:t>
      </w:r>
    </w:p>
    <w:p w14:paraId="44F6E056" w14:textId="77777777" w:rsidR="009822B4" w:rsidRDefault="009822B4"/>
    <w:sectPr w:rsidR="00982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87E91"/>
    <w:multiLevelType w:val="multilevel"/>
    <w:tmpl w:val="8B689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8154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777"/>
    <w:rsid w:val="0062271D"/>
    <w:rsid w:val="00895777"/>
    <w:rsid w:val="0098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03AD0"/>
  <w15:chartTrackingRefBased/>
  <w15:docId w15:val="{382ECC71-6A59-484F-9C59-F8450C8A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57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57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577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57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95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customStyle="1" w:styleId="file-wrapper">
    <w:name w:val="file-wrapper"/>
    <w:basedOn w:val="DefaultParagraphFont"/>
    <w:rsid w:val="00895777"/>
  </w:style>
  <w:style w:type="character" w:styleId="Hyperlink">
    <w:name w:val="Hyperlink"/>
    <w:basedOn w:val="DefaultParagraphFont"/>
    <w:uiPriority w:val="99"/>
    <w:semiHidden/>
    <w:unhideWhenUsed/>
    <w:rsid w:val="00895777"/>
    <w:rPr>
      <w:color w:val="0000FF"/>
      <w:u w:val="single"/>
    </w:rPr>
  </w:style>
  <w:style w:type="character" w:customStyle="1" w:styleId="file-meta">
    <w:name w:val="file-meta"/>
    <w:basedOn w:val="DefaultParagraphFont"/>
    <w:rsid w:val="00895777"/>
  </w:style>
  <w:style w:type="character" w:customStyle="1" w:styleId="file-type">
    <w:name w:val="file-type"/>
    <w:basedOn w:val="DefaultParagraphFont"/>
    <w:rsid w:val="00895777"/>
  </w:style>
  <w:style w:type="character" w:customStyle="1" w:styleId="file-size">
    <w:name w:val="file-size"/>
    <w:basedOn w:val="DefaultParagraphFont"/>
    <w:rsid w:val="00895777"/>
  </w:style>
  <w:style w:type="character" w:customStyle="1" w:styleId="date-display-single">
    <w:name w:val="date-display-single"/>
    <w:basedOn w:val="DefaultParagraphFont"/>
    <w:rsid w:val="00895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497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33166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1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8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3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7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3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2757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4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996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2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4490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0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22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7040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4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5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7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9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1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4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cr.ac.uk/sites/default/files/audit_template/pi-rads_audit_template_.xlsx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1" ma:contentTypeDescription="Create a new document." ma:contentTypeScope="" ma:versionID="8e501667a38c7294713285bdc622944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90BE949D-5B0A-486F-A140-D0426FD3C02A}"/>
</file>

<file path=customXml/itemProps2.xml><?xml version="1.0" encoding="utf-8"?>
<ds:datastoreItem xmlns:ds="http://schemas.openxmlformats.org/officeDocument/2006/customXml" ds:itemID="{1BA79E81-C8D6-4C76-A213-6E83854BE4F4}"/>
</file>

<file path=customXml/itemProps3.xml><?xml version="1.0" encoding="utf-8"?>
<ds:datastoreItem xmlns:ds="http://schemas.openxmlformats.org/officeDocument/2006/customXml" ds:itemID="{416CEF09-F0E0-4147-A12F-2B1A068DA4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571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Shah</dc:creator>
  <cp:keywords/>
  <dc:description/>
  <cp:lastModifiedBy>Ethan Shah</cp:lastModifiedBy>
  <cp:revision>1</cp:revision>
  <dcterms:created xsi:type="dcterms:W3CDTF">2023-10-05T15:51:00Z</dcterms:created>
  <dcterms:modified xsi:type="dcterms:W3CDTF">2023-10-05T15:53:00Z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