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38DD" w14:textId="3CCBDE83" w:rsidR="006D776D" w:rsidRDefault="006D776D" w:rsidP="00FB05A9">
      <w:pPr>
        <w:pStyle w:val="Heading1"/>
        <w:ind w:left="0"/>
        <w:rPr>
          <w:color w:val="17365D"/>
          <w:spacing w:val="-2"/>
        </w:rPr>
      </w:pPr>
      <w:r>
        <w:rPr>
          <w:color w:val="17365D"/>
        </w:rPr>
        <w:t>Unsuccessful</w:t>
      </w:r>
      <w:r>
        <w:rPr>
          <w:color w:val="17365D"/>
          <w:spacing w:val="24"/>
        </w:rPr>
        <w:t xml:space="preserve"> </w:t>
      </w:r>
      <w:r>
        <w:rPr>
          <w:color w:val="17365D"/>
        </w:rPr>
        <w:t>applications</w:t>
      </w:r>
      <w:r>
        <w:rPr>
          <w:color w:val="17365D"/>
          <w:spacing w:val="30"/>
        </w:rPr>
        <w:t xml:space="preserve"> </w:t>
      </w:r>
      <w:r>
        <w:rPr>
          <w:color w:val="17365D"/>
        </w:rPr>
        <w:t>or</w:t>
      </w:r>
      <w:r>
        <w:rPr>
          <w:color w:val="17365D"/>
          <w:spacing w:val="27"/>
        </w:rPr>
        <w:t xml:space="preserve"> </w:t>
      </w:r>
      <w:r>
        <w:rPr>
          <w:color w:val="17365D"/>
        </w:rPr>
        <w:t>poor</w:t>
      </w:r>
      <w:r>
        <w:rPr>
          <w:color w:val="17365D"/>
          <w:spacing w:val="26"/>
        </w:rPr>
        <w:t xml:space="preserve"> </w:t>
      </w:r>
      <w:r>
        <w:rPr>
          <w:color w:val="17365D"/>
          <w:spacing w:val="-2"/>
        </w:rPr>
        <w:t>evidence</w:t>
      </w:r>
    </w:p>
    <w:p w14:paraId="2B39F294" w14:textId="77777777" w:rsidR="00FB05A9" w:rsidRPr="00FB05A9" w:rsidRDefault="00FB05A9" w:rsidP="00FB05A9">
      <w:pPr>
        <w:rPr>
          <w:lang w:eastAsia="en-GB"/>
        </w:rPr>
      </w:pPr>
    </w:p>
    <w:p w14:paraId="421F5346" w14:textId="6E570E2C" w:rsidR="007A7D6E" w:rsidRDefault="006D776D" w:rsidP="008C46D7">
      <w:pPr>
        <w:pStyle w:val="BodyText"/>
        <w:rPr>
          <w:rFonts w:ascii="Tahoma" w:hAnsi="Tahoma" w:cs="Tahoma"/>
          <w:w w:val="105"/>
          <w:sz w:val="22"/>
          <w:szCs w:val="22"/>
        </w:rPr>
      </w:pPr>
      <w:r w:rsidRPr="00315CF6">
        <w:rPr>
          <w:rFonts w:ascii="Tahoma" w:hAnsi="Tahoma" w:cs="Tahoma"/>
          <w:w w:val="105"/>
          <w:sz w:val="22"/>
          <w:szCs w:val="22"/>
        </w:rPr>
        <w:t>It</w:t>
      </w:r>
      <w:r w:rsidRPr="00315CF6">
        <w:rPr>
          <w:rFonts w:ascii="Tahoma" w:hAnsi="Tahoma" w:cs="Tahoma"/>
          <w:spacing w:val="-9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is</w:t>
      </w:r>
      <w:r w:rsidRPr="00315CF6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our</w:t>
      </w:r>
      <w:r w:rsidRPr="00315CF6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experience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that</w:t>
      </w:r>
      <w:r w:rsidRPr="00315CF6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unsuccessful</w:t>
      </w:r>
      <w:r w:rsidRPr="00315CF6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applications</w:t>
      </w:r>
      <w:r w:rsidRPr="00315CF6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are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most</w:t>
      </w:r>
      <w:r w:rsidRPr="00315CF6">
        <w:rPr>
          <w:rFonts w:ascii="Tahoma" w:hAnsi="Tahoma" w:cs="Tahoma"/>
          <w:spacing w:val="-9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commonly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submitted</w:t>
      </w:r>
      <w:r w:rsidRPr="00315CF6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with</w:t>
      </w:r>
      <w:r w:rsidRPr="00315CF6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inadequate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or</w:t>
      </w:r>
      <w:r w:rsidRPr="00315CF6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poor</w:t>
      </w:r>
      <w:r w:rsidRPr="00315CF6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evidence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in</w:t>
      </w:r>
      <w:r w:rsidRPr="00315CF6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the</w:t>
      </w:r>
      <w:r w:rsidRPr="00315CF6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following areas.</w:t>
      </w:r>
      <w:r w:rsidRPr="00315CF6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This list</w:t>
      </w:r>
      <w:r w:rsidRPr="00315CF6">
        <w:rPr>
          <w:rFonts w:ascii="Tahoma" w:hAnsi="Tahoma" w:cs="Tahoma"/>
          <w:spacing w:val="-3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is not exhaustive; see more information about</w:t>
      </w:r>
      <w:r w:rsidRPr="00315CF6">
        <w:rPr>
          <w:rFonts w:ascii="Tahoma" w:hAnsi="Tahoma" w:cs="Tahoma"/>
          <w:spacing w:val="-3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what you need to</w:t>
      </w:r>
      <w:r w:rsidRPr="00315CF6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 xml:space="preserve">submit </w:t>
      </w:r>
      <w:r w:rsidR="00713560">
        <w:rPr>
          <w:rFonts w:ascii="Tahoma" w:hAnsi="Tahoma" w:cs="Tahoma"/>
          <w:w w:val="105"/>
          <w:sz w:val="22"/>
          <w:szCs w:val="22"/>
        </w:rPr>
        <w:t xml:space="preserve">in our advice on </w:t>
      </w:r>
      <w:r w:rsidR="0085558B">
        <w:rPr>
          <w:rFonts w:ascii="Tahoma" w:hAnsi="Tahoma" w:cs="Tahoma"/>
          <w:w w:val="105"/>
          <w:sz w:val="22"/>
          <w:szCs w:val="22"/>
        </w:rPr>
        <w:t>e</w:t>
      </w:r>
      <w:r w:rsidR="008A5F2A">
        <w:rPr>
          <w:rFonts w:ascii="Tahoma" w:hAnsi="Tahoma" w:cs="Tahoma"/>
          <w:w w:val="105"/>
          <w:sz w:val="22"/>
          <w:szCs w:val="22"/>
        </w:rPr>
        <w:t>vidence requirements</w:t>
      </w:r>
      <w:r w:rsidRPr="00315CF6">
        <w:rPr>
          <w:rFonts w:ascii="Tahoma" w:hAnsi="Tahoma" w:cs="Tahoma"/>
          <w:w w:val="105"/>
          <w:sz w:val="22"/>
          <w:szCs w:val="22"/>
        </w:rPr>
        <w:t>.</w:t>
      </w:r>
    </w:p>
    <w:p w14:paraId="5F35E770" w14:textId="77777777" w:rsidR="007A7D6E" w:rsidRDefault="007A7D6E" w:rsidP="008C46D7">
      <w:pPr>
        <w:pStyle w:val="BodyText"/>
        <w:rPr>
          <w:rFonts w:ascii="Tahoma" w:hAnsi="Tahoma" w:cs="Tahoma"/>
          <w:w w:val="105"/>
          <w:sz w:val="22"/>
          <w:szCs w:val="22"/>
        </w:rPr>
      </w:pPr>
    </w:p>
    <w:p w14:paraId="4E124316" w14:textId="5451CFE7" w:rsidR="006D776D" w:rsidRPr="00315CF6" w:rsidRDefault="006D776D" w:rsidP="008C46D7">
      <w:pPr>
        <w:pStyle w:val="BodyText"/>
        <w:rPr>
          <w:rFonts w:ascii="Tahoma" w:hAnsi="Tahoma" w:cs="Tahoma"/>
          <w:sz w:val="22"/>
          <w:szCs w:val="22"/>
        </w:rPr>
      </w:pPr>
      <w:r w:rsidRPr="00315CF6">
        <w:rPr>
          <w:rFonts w:ascii="Tahoma" w:hAnsi="Tahoma" w:cs="Tahoma"/>
          <w:w w:val="105"/>
          <w:sz w:val="22"/>
          <w:szCs w:val="22"/>
        </w:rPr>
        <w:t>However,</w:t>
      </w:r>
      <w:r w:rsidRPr="00315CF6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these</w:t>
      </w:r>
      <w:r w:rsidRPr="00315CF6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315CF6">
        <w:rPr>
          <w:rFonts w:ascii="Tahoma" w:hAnsi="Tahoma" w:cs="Tahoma"/>
          <w:w w:val="105"/>
          <w:sz w:val="22"/>
          <w:szCs w:val="22"/>
        </w:rPr>
        <w:t>documents are particularly key to your application</w:t>
      </w:r>
      <w:r w:rsidR="007A7D6E">
        <w:rPr>
          <w:rFonts w:ascii="Tahoma" w:hAnsi="Tahoma" w:cs="Tahoma"/>
          <w:w w:val="105"/>
          <w:sz w:val="22"/>
          <w:szCs w:val="22"/>
        </w:rPr>
        <w:t>:</w:t>
      </w:r>
    </w:p>
    <w:p w14:paraId="2DA483CD" w14:textId="1ABE8309" w:rsidR="006D776D" w:rsidRPr="00315CF6" w:rsidRDefault="0085558B" w:rsidP="008C46D7">
      <w:pPr>
        <w:pStyle w:val="ListParagraph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0"/>
        <w:contextualSpacing w:val="0"/>
        <w:jc w:val="left"/>
      </w:pPr>
      <w:r>
        <w:rPr>
          <w:w w:val="105"/>
        </w:rPr>
        <w:t>S</w:t>
      </w:r>
      <w:r w:rsidR="006D776D" w:rsidRPr="00315CF6">
        <w:rPr>
          <w:w w:val="105"/>
        </w:rPr>
        <w:t>ufficient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recent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and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personally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generated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planning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and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prescription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evidence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covering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the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breadth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of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the</w:t>
      </w:r>
      <w:r w:rsidR="006D776D" w:rsidRPr="00315CF6">
        <w:rPr>
          <w:spacing w:val="40"/>
          <w:w w:val="105"/>
        </w:rPr>
        <w:t xml:space="preserve"> </w:t>
      </w:r>
      <w:r w:rsidR="006D776D" w:rsidRPr="00315CF6">
        <w:rPr>
          <w:w w:val="105"/>
        </w:rPr>
        <w:t>clinical oncology</w:t>
      </w:r>
      <w:r w:rsidR="006D776D" w:rsidRPr="00315CF6">
        <w:rPr>
          <w:spacing w:val="-1"/>
          <w:w w:val="105"/>
        </w:rPr>
        <w:t xml:space="preserve"> </w:t>
      </w:r>
      <w:r w:rsidR="006D776D" w:rsidRPr="00315CF6">
        <w:rPr>
          <w:w w:val="105"/>
        </w:rPr>
        <w:t xml:space="preserve">specific content, as set out in </w:t>
      </w:r>
      <w:r w:rsidR="00DE4F4A">
        <w:rPr>
          <w:w w:val="105"/>
        </w:rPr>
        <w:t xml:space="preserve">detail in the </w:t>
      </w:r>
      <w:proofErr w:type="gramStart"/>
      <w:r w:rsidR="00DE4F4A">
        <w:rPr>
          <w:w w:val="105"/>
        </w:rPr>
        <w:t>SSG</w:t>
      </w:r>
      <w:proofErr w:type="gramEnd"/>
    </w:p>
    <w:p w14:paraId="1B611D07" w14:textId="23BCBD7F" w:rsidR="006D776D" w:rsidRPr="00315CF6" w:rsidRDefault="0085558B" w:rsidP="008C46D7">
      <w:pPr>
        <w:pStyle w:val="ListParagraph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0"/>
        <w:contextualSpacing w:val="0"/>
        <w:jc w:val="left"/>
      </w:pPr>
      <w:r>
        <w:rPr>
          <w:w w:val="105"/>
        </w:rPr>
        <w:t>E</w:t>
      </w:r>
      <w:r w:rsidR="006D776D" w:rsidRPr="00315CF6">
        <w:rPr>
          <w:w w:val="105"/>
        </w:rPr>
        <w:t>vidence of clinical audit activity to</w:t>
      </w:r>
      <w:r w:rsidR="006D776D" w:rsidRPr="00315CF6">
        <w:rPr>
          <w:spacing w:val="23"/>
          <w:w w:val="105"/>
        </w:rPr>
        <w:t xml:space="preserve"> </w:t>
      </w:r>
      <w:r w:rsidR="006D776D" w:rsidRPr="00315CF6">
        <w:rPr>
          <w:w w:val="105"/>
        </w:rPr>
        <w:t>demonstrate individual clinical</w:t>
      </w:r>
      <w:r w:rsidR="006D776D" w:rsidRPr="00315CF6">
        <w:rPr>
          <w:spacing w:val="21"/>
          <w:w w:val="105"/>
        </w:rPr>
        <w:t xml:space="preserve"> </w:t>
      </w:r>
      <w:r w:rsidR="006D776D" w:rsidRPr="00315CF6">
        <w:rPr>
          <w:w w:val="105"/>
        </w:rPr>
        <w:t>effectiveness and completion</w:t>
      </w:r>
      <w:r w:rsidR="006D776D" w:rsidRPr="00315CF6">
        <w:rPr>
          <w:spacing w:val="21"/>
          <w:w w:val="105"/>
        </w:rPr>
        <w:t xml:space="preserve"> </w:t>
      </w:r>
      <w:r w:rsidR="006D776D" w:rsidRPr="00315CF6">
        <w:rPr>
          <w:w w:val="105"/>
        </w:rPr>
        <w:t>of the</w:t>
      </w:r>
      <w:r w:rsidR="006D776D" w:rsidRPr="00315CF6">
        <w:rPr>
          <w:spacing w:val="21"/>
          <w:w w:val="105"/>
        </w:rPr>
        <w:t xml:space="preserve"> </w:t>
      </w:r>
      <w:r w:rsidR="006D776D" w:rsidRPr="00315CF6">
        <w:rPr>
          <w:w w:val="105"/>
        </w:rPr>
        <w:t>audit cycle (re- audit), and/or evidence</w:t>
      </w:r>
      <w:r w:rsidR="006D776D" w:rsidRPr="00315CF6">
        <w:rPr>
          <w:spacing w:val="-2"/>
          <w:w w:val="105"/>
        </w:rPr>
        <w:t xml:space="preserve"> </w:t>
      </w:r>
      <w:r w:rsidR="006D776D" w:rsidRPr="00315CF6">
        <w:rPr>
          <w:w w:val="105"/>
        </w:rPr>
        <w:t>of quality</w:t>
      </w:r>
      <w:r w:rsidR="006D776D" w:rsidRPr="00315CF6">
        <w:rPr>
          <w:spacing w:val="-3"/>
          <w:w w:val="105"/>
        </w:rPr>
        <w:t xml:space="preserve"> </w:t>
      </w:r>
      <w:r w:rsidR="006D776D" w:rsidRPr="00315CF6">
        <w:rPr>
          <w:w w:val="105"/>
        </w:rPr>
        <w:t>improvement projects which have</w:t>
      </w:r>
      <w:r w:rsidR="006D776D" w:rsidRPr="00315CF6">
        <w:rPr>
          <w:spacing w:val="-2"/>
          <w:w w:val="105"/>
        </w:rPr>
        <w:t xml:space="preserve"> </w:t>
      </w:r>
      <w:r w:rsidR="006D776D" w:rsidRPr="00315CF6">
        <w:rPr>
          <w:w w:val="105"/>
        </w:rPr>
        <w:t>led to changes in</w:t>
      </w:r>
      <w:r w:rsidR="006D776D" w:rsidRPr="00315CF6">
        <w:rPr>
          <w:spacing w:val="-2"/>
          <w:w w:val="105"/>
        </w:rPr>
        <w:t xml:space="preserve"> </w:t>
      </w:r>
      <w:proofErr w:type="gramStart"/>
      <w:r w:rsidR="006D776D" w:rsidRPr="00315CF6">
        <w:rPr>
          <w:w w:val="105"/>
        </w:rPr>
        <w:t>practice</w:t>
      </w:r>
      <w:proofErr w:type="gramEnd"/>
    </w:p>
    <w:p w14:paraId="77A348F1" w14:textId="12D7A3D2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0"/>
        <w:contextualSpacing w:val="0"/>
        <w:jc w:val="left"/>
      </w:pPr>
      <w:r>
        <w:rPr>
          <w:w w:val="105"/>
        </w:rPr>
        <w:t>S</w:t>
      </w:r>
      <w:r w:rsidR="006D776D" w:rsidRPr="00315CF6">
        <w:rPr>
          <w:w w:val="105"/>
        </w:rPr>
        <w:t>afety and</w:t>
      </w:r>
      <w:r w:rsidR="006D776D" w:rsidRPr="00315CF6">
        <w:rPr>
          <w:spacing w:val="28"/>
          <w:w w:val="105"/>
        </w:rPr>
        <w:t xml:space="preserve"> </w:t>
      </w:r>
      <w:r w:rsidR="006D776D" w:rsidRPr="00315CF6">
        <w:rPr>
          <w:w w:val="105"/>
        </w:rPr>
        <w:t>quality, clinical</w:t>
      </w:r>
      <w:r w:rsidR="006D776D" w:rsidRPr="00315CF6">
        <w:rPr>
          <w:spacing w:val="26"/>
          <w:w w:val="105"/>
        </w:rPr>
        <w:t xml:space="preserve"> </w:t>
      </w:r>
      <w:r w:rsidR="006D776D" w:rsidRPr="00315CF6">
        <w:rPr>
          <w:w w:val="105"/>
        </w:rPr>
        <w:t>governance and service improvement</w:t>
      </w:r>
      <w:r w:rsidR="006D776D" w:rsidRPr="00315CF6">
        <w:rPr>
          <w:spacing w:val="30"/>
          <w:w w:val="105"/>
        </w:rPr>
        <w:t xml:space="preserve"> </w:t>
      </w:r>
      <w:r w:rsidR="006D776D" w:rsidRPr="00315CF6">
        <w:rPr>
          <w:w w:val="105"/>
        </w:rPr>
        <w:t>activity</w:t>
      </w:r>
      <w:r w:rsidR="006D776D" w:rsidRPr="00315CF6">
        <w:rPr>
          <w:spacing w:val="27"/>
          <w:w w:val="105"/>
        </w:rPr>
        <w:t xml:space="preserve"> </w:t>
      </w:r>
      <w:r w:rsidR="006D776D" w:rsidRPr="00315CF6">
        <w:rPr>
          <w:w w:val="105"/>
        </w:rPr>
        <w:t>and particularly multidisciplinary team (MDT) meetings and activity</w:t>
      </w:r>
    </w:p>
    <w:p w14:paraId="4E32369E" w14:textId="280C3F09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left="0"/>
        <w:contextualSpacing w:val="0"/>
        <w:jc w:val="left"/>
      </w:pPr>
      <w:r>
        <w:rPr>
          <w:w w:val="105"/>
        </w:rPr>
        <w:t>F</w:t>
      </w:r>
      <w:r w:rsidR="006D776D" w:rsidRPr="00315CF6">
        <w:rPr>
          <w:w w:val="105"/>
        </w:rPr>
        <w:t>ormal</w:t>
      </w:r>
      <w:r w:rsidR="006D776D" w:rsidRPr="00315CF6">
        <w:rPr>
          <w:spacing w:val="-3"/>
          <w:w w:val="105"/>
        </w:rPr>
        <w:t xml:space="preserve"> </w:t>
      </w:r>
      <w:r w:rsidR="006D776D" w:rsidRPr="00315CF6">
        <w:rPr>
          <w:w w:val="105"/>
        </w:rPr>
        <w:t>appraisal</w:t>
      </w:r>
      <w:r w:rsidR="006D776D" w:rsidRPr="00315CF6">
        <w:rPr>
          <w:spacing w:val="-10"/>
          <w:w w:val="105"/>
        </w:rPr>
        <w:t xml:space="preserve"> </w:t>
      </w:r>
      <w:r w:rsidR="006D776D" w:rsidRPr="00315CF6">
        <w:rPr>
          <w:w w:val="105"/>
        </w:rPr>
        <w:t>information,</w:t>
      </w:r>
      <w:r w:rsidR="006D776D" w:rsidRPr="00315CF6">
        <w:rPr>
          <w:spacing w:val="-6"/>
          <w:w w:val="105"/>
        </w:rPr>
        <w:t xml:space="preserve"> </w:t>
      </w:r>
      <w:r w:rsidR="006D776D" w:rsidRPr="00315CF6">
        <w:rPr>
          <w:w w:val="105"/>
        </w:rPr>
        <w:t>multi-source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feedback,</w:t>
      </w:r>
      <w:r w:rsidR="006D776D" w:rsidRPr="00315CF6">
        <w:rPr>
          <w:spacing w:val="-6"/>
          <w:w w:val="105"/>
        </w:rPr>
        <w:t xml:space="preserve"> </w:t>
      </w:r>
      <w:r w:rsidR="006D776D" w:rsidRPr="00315CF6">
        <w:rPr>
          <w:w w:val="105"/>
        </w:rPr>
        <w:t>patient</w:t>
      </w:r>
      <w:r w:rsidR="006D776D" w:rsidRPr="00315CF6">
        <w:rPr>
          <w:spacing w:val="-6"/>
          <w:w w:val="105"/>
        </w:rPr>
        <w:t xml:space="preserve"> </w:t>
      </w:r>
      <w:r w:rsidR="006D776D" w:rsidRPr="00315CF6">
        <w:rPr>
          <w:w w:val="105"/>
        </w:rPr>
        <w:t>feedback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where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available,</w:t>
      </w:r>
      <w:r w:rsidR="006D776D" w:rsidRPr="00315CF6">
        <w:rPr>
          <w:spacing w:val="-6"/>
          <w:w w:val="105"/>
        </w:rPr>
        <w:t xml:space="preserve"> </w:t>
      </w:r>
      <w:r w:rsidR="006D776D" w:rsidRPr="00315CF6">
        <w:rPr>
          <w:w w:val="105"/>
        </w:rPr>
        <w:t>reflective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learning</w:t>
      </w:r>
      <w:r w:rsidR="006D776D" w:rsidRPr="00315CF6">
        <w:rPr>
          <w:spacing w:val="-8"/>
          <w:w w:val="105"/>
        </w:rPr>
        <w:t xml:space="preserve"> </w:t>
      </w:r>
      <w:r w:rsidR="006D776D" w:rsidRPr="00315CF6">
        <w:rPr>
          <w:w w:val="105"/>
        </w:rPr>
        <w:t>diaries</w:t>
      </w:r>
      <w:r w:rsidR="006D776D" w:rsidRPr="00315CF6">
        <w:rPr>
          <w:spacing w:val="-4"/>
          <w:w w:val="105"/>
        </w:rPr>
        <w:t xml:space="preserve"> </w:t>
      </w:r>
      <w:r w:rsidR="006D776D" w:rsidRPr="00315CF6">
        <w:rPr>
          <w:w w:val="105"/>
        </w:rPr>
        <w:t xml:space="preserve">and personal development plans to evidence how you are addressing </w:t>
      </w:r>
      <w:proofErr w:type="gramStart"/>
      <w:r w:rsidR="006D776D" w:rsidRPr="00315CF6">
        <w:rPr>
          <w:w w:val="105"/>
        </w:rPr>
        <w:t>objectives</w:t>
      </w:r>
      <w:proofErr w:type="gramEnd"/>
    </w:p>
    <w:p w14:paraId="776628FB" w14:textId="05795E0A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0" w:hanging="360"/>
        <w:contextualSpacing w:val="0"/>
        <w:jc w:val="left"/>
      </w:pPr>
      <w:r>
        <w:rPr>
          <w:w w:val="105"/>
        </w:rPr>
        <w:t>R</w:t>
      </w:r>
      <w:r w:rsidR="006D776D" w:rsidRPr="00315CF6">
        <w:rPr>
          <w:w w:val="105"/>
        </w:rPr>
        <w:t>esearch</w:t>
      </w:r>
      <w:r w:rsidR="006D776D" w:rsidRPr="00315CF6">
        <w:rPr>
          <w:spacing w:val="-17"/>
          <w:w w:val="105"/>
        </w:rPr>
        <w:t xml:space="preserve"> </w:t>
      </w:r>
      <w:r w:rsidR="006D776D" w:rsidRPr="00315CF6">
        <w:rPr>
          <w:spacing w:val="-2"/>
          <w:w w:val="105"/>
        </w:rPr>
        <w:t>activity</w:t>
      </w:r>
    </w:p>
    <w:p w14:paraId="253F205E" w14:textId="15D23DF2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  <w:jc w:val="left"/>
      </w:pPr>
      <w:r>
        <w:rPr>
          <w:w w:val="105"/>
        </w:rPr>
        <w:t>T</w:t>
      </w:r>
      <w:r w:rsidR="006D776D" w:rsidRPr="00315CF6">
        <w:rPr>
          <w:w w:val="105"/>
        </w:rPr>
        <w:t>eaching</w:t>
      </w:r>
      <w:r w:rsidR="006D776D" w:rsidRPr="00315CF6">
        <w:rPr>
          <w:spacing w:val="-16"/>
          <w:w w:val="105"/>
        </w:rPr>
        <w:t xml:space="preserve"> </w:t>
      </w:r>
      <w:r w:rsidR="006D776D" w:rsidRPr="00315CF6">
        <w:rPr>
          <w:spacing w:val="-2"/>
          <w:w w:val="105"/>
        </w:rPr>
        <w:t>activity</w:t>
      </w:r>
    </w:p>
    <w:p w14:paraId="5CFBD038" w14:textId="205F0353" w:rsidR="00D47729" w:rsidRPr="00D47729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  <w:jc w:val="left"/>
      </w:pPr>
      <w:r>
        <w:t>M</w:t>
      </w:r>
      <w:r w:rsidR="006D776D" w:rsidRPr="00315CF6">
        <w:t>anagement</w:t>
      </w:r>
      <w:r w:rsidR="006D776D" w:rsidRPr="00315CF6">
        <w:rPr>
          <w:spacing w:val="45"/>
        </w:rPr>
        <w:t xml:space="preserve"> </w:t>
      </w:r>
      <w:r w:rsidR="006D776D" w:rsidRPr="00315CF6">
        <w:rPr>
          <w:spacing w:val="-2"/>
        </w:rPr>
        <w:t>activity</w:t>
      </w:r>
    </w:p>
    <w:p w14:paraId="0F0393AB" w14:textId="77777777" w:rsidR="00D47729" w:rsidRDefault="00D47729" w:rsidP="008C46D7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pacing w:val="-2"/>
        </w:rPr>
      </w:pPr>
    </w:p>
    <w:p w14:paraId="452F495C" w14:textId="274C3313" w:rsidR="007C58CA" w:rsidRPr="00315CF6" w:rsidRDefault="007C58CA" w:rsidP="008C46D7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0" w:firstLine="0"/>
        <w:contextualSpacing w:val="0"/>
        <w:jc w:val="left"/>
      </w:pPr>
      <w:r>
        <w:rPr>
          <w:spacing w:val="-2"/>
        </w:rPr>
        <w:t>With regard to your structured reports:</w:t>
      </w:r>
    </w:p>
    <w:p w14:paraId="6800E5CB" w14:textId="7E626076" w:rsidR="005656F7" w:rsidRPr="005656F7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</w:pPr>
      <w:r>
        <w:rPr>
          <w:w w:val="105"/>
        </w:rPr>
        <w:t>W</w:t>
      </w:r>
      <w:r w:rsidR="006D776D" w:rsidRPr="00315CF6">
        <w:rPr>
          <w:w w:val="105"/>
        </w:rPr>
        <w:t xml:space="preserve">e recommend that your referees </w:t>
      </w:r>
      <w:proofErr w:type="gramStart"/>
      <w:r w:rsidR="006D776D" w:rsidRPr="00315CF6">
        <w:rPr>
          <w:w w:val="105"/>
        </w:rPr>
        <w:t>are able to</w:t>
      </w:r>
      <w:proofErr w:type="gramEnd"/>
      <w:r w:rsidR="006D776D" w:rsidRPr="00315CF6">
        <w:rPr>
          <w:w w:val="105"/>
        </w:rPr>
        <w:t xml:space="preserve"> provide detailed support for your competences across all or most areas and understand the requirements for specialist training in clinical oncology and Specialist Registration in the UK</w:t>
      </w:r>
    </w:p>
    <w:p w14:paraId="2A7247EE" w14:textId="4984C709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</w:pPr>
      <w:r>
        <w:rPr>
          <w:w w:val="105"/>
        </w:rPr>
        <w:t>I</w:t>
      </w:r>
      <w:r w:rsidR="006D776D" w:rsidRPr="00315CF6">
        <w:rPr>
          <w:w w:val="105"/>
        </w:rPr>
        <w:t>t is particularly useful if they can comment on your emergency</w:t>
      </w:r>
      <w:r w:rsidR="006D776D" w:rsidRPr="00315CF6">
        <w:rPr>
          <w:spacing w:val="-5"/>
          <w:w w:val="105"/>
        </w:rPr>
        <w:t xml:space="preserve"> </w:t>
      </w:r>
      <w:r w:rsidR="006D776D" w:rsidRPr="00315CF6">
        <w:rPr>
          <w:w w:val="105"/>
        </w:rPr>
        <w:t>medicine and Acute Oncology experience</w:t>
      </w:r>
      <w:r>
        <w:rPr>
          <w:w w:val="105"/>
        </w:rPr>
        <w:t>.</w:t>
      </w:r>
    </w:p>
    <w:p w14:paraId="7D3E50F3" w14:textId="05D485C1" w:rsidR="006D776D" w:rsidRPr="00315CF6" w:rsidRDefault="006C6B30" w:rsidP="008C46D7">
      <w:pPr>
        <w:pStyle w:val="ListParagraph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0" w:hanging="359"/>
        <w:contextualSpacing w:val="0"/>
      </w:pPr>
      <w:r>
        <w:rPr>
          <w:w w:val="105"/>
        </w:rPr>
        <w:t>Y</w:t>
      </w:r>
      <w:r w:rsidR="006D776D" w:rsidRPr="00315CF6">
        <w:rPr>
          <w:w w:val="105"/>
        </w:rPr>
        <w:t>our</w:t>
      </w:r>
      <w:r w:rsidR="006D776D" w:rsidRPr="00315CF6">
        <w:rPr>
          <w:spacing w:val="-12"/>
          <w:w w:val="105"/>
        </w:rPr>
        <w:t xml:space="preserve"> </w:t>
      </w:r>
      <w:r w:rsidR="006D776D" w:rsidRPr="00315CF6">
        <w:rPr>
          <w:w w:val="105"/>
        </w:rPr>
        <w:t>referees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should</w:t>
      </w:r>
      <w:r w:rsidR="006D776D" w:rsidRPr="00315CF6">
        <w:rPr>
          <w:spacing w:val="-13"/>
          <w:w w:val="105"/>
        </w:rPr>
        <w:t xml:space="preserve"> </w:t>
      </w:r>
      <w:r w:rsidR="006D776D" w:rsidRPr="00315CF6">
        <w:rPr>
          <w:w w:val="105"/>
        </w:rPr>
        <w:t>be</w:t>
      </w:r>
      <w:r w:rsidR="006D776D" w:rsidRPr="00315CF6">
        <w:rPr>
          <w:spacing w:val="-8"/>
          <w:w w:val="105"/>
        </w:rPr>
        <w:t xml:space="preserve"> </w:t>
      </w:r>
      <w:r w:rsidR="006D776D" w:rsidRPr="00315CF6">
        <w:rPr>
          <w:w w:val="105"/>
        </w:rPr>
        <w:t>able</w:t>
      </w:r>
      <w:r w:rsidR="006D776D" w:rsidRPr="00315CF6">
        <w:rPr>
          <w:spacing w:val="-7"/>
          <w:w w:val="105"/>
        </w:rPr>
        <w:t xml:space="preserve"> </w:t>
      </w:r>
      <w:r w:rsidR="006D776D" w:rsidRPr="00315CF6">
        <w:rPr>
          <w:w w:val="105"/>
        </w:rPr>
        <w:t>to</w:t>
      </w:r>
      <w:r w:rsidR="006D776D" w:rsidRPr="00315CF6">
        <w:rPr>
          <w:spacing w:val="-5"/>
          <w:w w:val="105"/>
        </w:rPr>
        <w:t xml:space="preserve"> </w:t>
      </w:r>
      <w:r w:rsidR="006D776D" w:rsidRPr="00315CF6">
        <w:rPr>
          <w:w w:val="105"/>
        </w:rPr>
        <w:t>comment</w:t>
      </w:r>
      <w:r w:rsidR="006D776D" w:rsidRPr="00315CF6">
        <w:rPr>
          <w:spacing w:val="-5"/>
          <w:w w:val="105"/>
        </w:rPr>
        <w:t xml:space="preserve"> </w:t>
      </w:r>
      <w:r w:rsidR="006D776D" w:rsidRPr="00315CF6">
        <w:rPr>
          <w:w w:val="105"/>
        </w:rPr>
        <w:t>on</w:t>
      </w:r>
      <w:r w:rsidR="006D776D" w:rsidRPr="00315CF6">
        <w:rPr>
          <w:spacing w:val="-7"/>
          <w:w w:val="105"/>
        </w:rPr>
        <w:t xml:space="preserve"> </w:t>
      </w:r>
      <w:r w:rsidR="006D776D" w:rsidRPr="00315CF6">
        <w:rPr>
          <w:w w:val="105"/>
        </w:rPr>
        <w:t>your</w:t>
      </w:r>
      <w:r w:rsidR="006D776D" w:rsidRPr="00315CF6">
        <w:rPr>
          <w:spacing w:val="-4"/>
          <w:w w:val="105"/>
        </w:rPr>
        <w:t xml:space="preserve"> </w:t>
      </w:r>
      <w:r w:rsidR="006D776D" w:rsidRPr="00315CF6">
        <w:rPr>
          <w:w w:val="105"/>
        </w:rPr>
        <w:t>current</w:t>
      </w:r>
      <w:r w:rsidR="006D776D" w:rsidRPr="00315CF6">
        <w:rPr>
          <w:spacing w:val="-5"/>
          <w:w w:val="105"/>
        </w:rPr>
        <w:t xml:space="preserve"> </w:t>
      </w:r>
      <w:r w:rsidR="006D776D" w:rsidRPr="00315CF6">
        <w:rPr>
          <w:w w:val="105"/>
        </w:rPr>
        <w:t>employment</w:t>
      </w:r>
      <w:r w:rsidR="006D776D" w:rsidRPr="00315CF6">
        <w:rPr>
          <w:spacing w:val="-5"/>
          <w:w w:val="105"/>
        </w:rPr>
        <w:t xml:space="preserve"> </w:t>
      </w:r>
      <w:r w:rsidR="006D776D" w:rsidRPr="00315CF6">
        <w:rPr>
          <w:w w:val="105"/>
        </w:rPr>
        <w:t>and</w:t>
      </w:r>
      <w:r w:rsidR="006D776D" w:rsidRPr="00315CF6">
        <w:rPr>
          <w:spacing w:val="-7"/>
          <w:w w:val="105"/>
        </w:rPr>
        <w:t xml:space="preserve"> </w:t>
      </w:r>
      <w:r w:rsidR="006D776D" w:rsidRPr="00315CF6">
        <w:rPr>
          <w:w w:val="105"/>
        </w:rPr>
        <w:t>employment</w:t>
      </w:r>
      <w:r w:rsidR="006D776D" w:rsidRPr="00315CF6">
        <w:rPr>
          <w:spacing w:val="-12"/>
          <w:w w:val="105"/>
        </w:rPr>
        <w:t xml:space="preserve"> </w:t>
      </w:r>
      <w:r w:rsidR="006D776D" w:rsidRPr="00315CF6">
        <w:rPr>
          <w:w w:val="105"/>
        </w:rPr>
        <w:t>from</w:t>
      </w:r>
      <w:r w:rsidR="006D776D" w:rsidRPr="00315CF6">
        <w:rPr>
          <w:spacing w:val="-9"/>
          <w:w w:val="105"/>
        </w:rPr>
        <w:t xml:space="preserve"> </w:t>
      </w:r>
      <w:r w:rsidR="006D776D" w:rsidRPr="00315CF6">
        <w:rPr>
          <w:w w:val="105"/>
        </w:rPr>
        <w:t>the</w:t>
      </w:r>
      <w:r w:rsidR="006D776D" w:rsidRPr="00315CF6">
        <w:rPr>
          <w:spacing w:val="-8"/>
          <w:w w:val="105"/>
        </w:rPr>
        <w:t xml:space="preserve"> </w:t>
      </w:r>
      <w:r w:rsidR="006D776D" w:rsidRPr="00315CF6">
        <w:rPr>
          <w:w w:val="105"/>
        </w:rPr>
        <w:t>last</w:t>
      </w:r>
      <w:r w:rsidR="006D776D" w:rsidRPr="00315CF6">
        <w:rPr>
          <w:spacing w:val="-12"/>
          <w:w w:val="105"/>
        </w:rPr>
        <w:t xml:space="preserve"> </w:t>
      </w:r>
      <w:r w:rsidR="006D776D" w:rsidRPr="00315CF6">
        <w:rPr>
          <w:w w:val="105"/>
        </w:rPr>
        <w:t>five</w:t>
      </w:r>
      <w:r w:rsidR="006D776D" w:rsidRPr="00315CF6">
        <w:rPr>
          <w:spacing w:val="-8"/>
          <w:w w:val="105"/>
        </w:rPr>
        <w:t xml:space="preserve"> </w:t>
      </w:r>
      <w:r w:rsidR="006D776D" w:rsidRPr="00315CF6">
        <w:rPr>
          <w:spacing w:val="-2"/>
          <w:w w:val="105"/>
        </w:rPr>
        <w:t>years</w:t>
      </w:r>
      <w:r>
        <w:rPr>
          <w:spacing w:val="-2"/>
          <w:w w:val="105"/>
        </w:rPr>
        <w:t>.</w:t>
      </w:r>
    </w:p>
    <w:p w14:paraId="64D8E09C" w14:textId="77777777" w:rsidR="0010009C" w:rsidRDefault="0010009C"/>
    <w:sectPr w:rsidR="00100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70F2"/>
    <w:multiLevelType w:val="hybridMultilevel"/>
    <w:tmpl w:val="8DAA2D06"/>
    <w:lvl w:ilvl="0" w:tplc="9D2C1C9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22081672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73B445C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2BFE2C1E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4" w:tplc="EA8A2DA4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5" w:tplc="7CE4CBCA">
      <w:numFmt w:val="bullet"/>
      <w:lvlText w:val="•"/>
      <w:lvlJc w:val="left"/>
      <w:pPr>
        <w:ind w:left="7850" w:hanging="361"/>
      </w:pPr>
      <w:rPr>
        <w:rFonts w:hint="default"/>
        <w:lang w:val="en-US" w:eastAsia="en-US" w:bidi="ar-SA"/>
      </w:rPr>
    </w:lvl>
    <w:lvl w:ilvl="6" w:tplc="938CE0C6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  <w:lvl w:ilvl="7" w:tplc="9894100E">
      <w:numFmt w:val="bullet"/>
      <w:lvlText w:val="•"/>
      <w:lvlJc w:val="left"/>
      <w:pPr>
        <w:ind w:left="10470" w:hanging="361"/>
      </w:pPr>
      <w:rPr>
        <w:rFonts w:hint="default"/>
        <w:lang w:val="en-US" w:eastAsia="en-US" w:bidi="ar-SA"/>
      </w:rPr>
    </w:lvl>
    <w:lvl w:ilvl="8" w:tplc="52D66DCA">
      <w:numFmt w:val="bullet"/>
      <w:lvlText w:val="•"/>
      <w:lvlJc w:val="left"/>
      <w:pPr>
        <w:ind w:left="11780" w:hanging="361"/>
      </w:pPr>
      <w:rPr>
        <w:rFonts w:hint="default"/>
        <w:lang w:val="en-US" w:eastAsia="en-US" w:bidi="ar-SA"/>
      </w:rPr>
    </w:lvl>
  </w:abstractNum>
  <w:num w:numId="1" w16cid:durableId="143015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6D"/>
    <w:rsid w:val="0010009C"/>
    <w:rsid w:val="00387797"/>
    <w:rsid w:val="00402DBE"/>
    <w:rsid w:val="00404FF9"/>
    <w:rsid w:val="005656F7"/>
    <w:rsid w:val="006C6B30"/>
    <w:rsid w:val="006D776D"/>
    <w:rsid w:val="00713560"/>
    <w:rsid w:val="007A7D6E"/>
    <w:rsid w:val="007C58CA"/>
    <w:rsid w:val="00835768"/>
    <w:rsid w:val="0085558B"/>
    <w:rsid w:val="008A5F2A"/>
    <w:rsid w:val="008C46D7"/>
    <w:rsid w:val="00D47729"/>
    <w:rsid w:val="00DE4F4A"/>
    <w:rsid w:val="00F54119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B67D"/>
  <w15:chartTrackingRefBased/>
  <w15:docId w15:val="{C971D565-581B-4429-9EC0-24A0D08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D776D"/>
    <w:pPr>
      <w:keepNext/>
      <w:keepLines/>
      <w:spacing w:after="0"/>
      <w:ind w:left="41" w:hanging="10"/>
      <w:outlineLvl w:val="0"/>
    </w:pPr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6D"/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D776D"/>
    <w:pPr>
      <w:spacing w:after="3" w:line="271" w:lineRule="auto"/>
      <w:ind w:left="720" w:hanging="10"/>
      <w:contextualSpacing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7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76D"/>
    <w:pPr>
      <w:spacing w:after="3" w:line="240" w:lineRule="auto"/>
      <w:ind w:left="41" w:hanging="10"/>
      <w:jc w:val="both"/>
    </w:pPr>
    <w:rPr>
      <w:rFonts w:ascii="Tahoma" w:eastAsia="Tahoma" w:hAnsi="Tahoma" w:cs="Tahoma"/>
      <w:color w:val="000000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76D"/>
    <w:rPr>
      <w:rFonts w:ascii="Tahoma" w:eastAsia="Tahoma" w:hAnsi="Tahoma" w:cs="Tahoma"/>
      <w:color w:val="000000"/>
      <w:kern w:val="0"/>
      <w:sz w:val="2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D77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776D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2A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2A"/>
    <w:rPr>
      <w:rFonts w:ascii="Tahoma" w:eastAsia="Tahoma" w:hAnsi="Tahoma" w:cs="Tahoma"/>
      <w:b/>
      <w:bCs/>
      <w:color w:val="000000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7056CD71-1E60-4283-AECC-FB1BF9956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23CA8-869E-467D-BC3C-D8EB5CB21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0F85E-5A6E-43C9-A124-831A86100FAB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Watkins</dc:creator>
  <cp:keywords/>
  <dc:description/>
  <cp:lastModifiedBy>Katherine Bailey</cp:lastModifiedBy>
  <cp:revision>2</cp:revision>
  <dcterms:created xsi:type="dcterms:W3CDTF">2023-11-14T12:21:00Z</dcterms:created>
  <dcterms:modified xsi:type="dcterms:W3CDTF">2023-11-14T12:21:00Z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