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6B0" w14:textId="77777777" w:rsidR="002B7A3F" w:rsidRDefault="002B7A3F" w:rsidP="002B7A3F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Audit to optimise CT KUB imaging in investigation of renal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colic</w:t>
      </w:r>
      <w:proofErr w:type="gramEnd"/>
    </w:p>
    <w:p w14:paraId="47AAFC1F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5970184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evaluate CT KUB technique, aiming to reduce unnecessary scan length and ionising radiation exposure.</w:t>
      </w:r>
    </w:p>
    <w:p w14:paraId="0D21C6AD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3CF8448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CT KUB is a commonly performed procedure in emergency departments, as it is the first-line test in suspected renal colic [1]. However, as imaging techniques involving ionising radiation become more common, it is important that these tests are used appropriately; the area of the body scanned should be limited to what is needed to answer the clinical question [2]. Therefore, in the case of CT KUB for renal colic, the upper pole of the highest kidney should be the upper limit for the examination; in the assessment of renal colic, there is no diagnostic usefulness in any imaging above this point, but it would contribute to higher radiation dose.</w:t>
      </w:r>
    </w:p>
    <w:p w14:paraId="2B12A928" w14:textId="77777777" w:rsidR="002B7A3F" w:rsidRDefault="002B7A3F" w:rsidP="002B7A3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5F025B2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8E2E00C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Excess scan length above the upper pole of the highest kidney should not exceed 10% of total length of scan</w:t>
      </w:r>
    </w:p>
    <w:p w14:paraId="62BA2A03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Standard defined locally within department - A local standard should be agreed within each department and adopted</w:t>
      </w:r>
    </w:p>
    <w:p w14:paraId="1AEAA662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6FDC9A8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CT KUB scans performed for renal colic should have ≤ 10% excess scan length.</w:t>
      </w:r>
    </w:p>
    <w:p w14:paraId="412DF385" w14:textId="77777777" w:rsidR="002B7A3F" w:rsidRDefault="002B7A3F" w:rsidP="002B7A3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1AE405B8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8BC1380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indicators to be measured in this audit are:</w:t>
      </w:r>
    </w:p>
    <w:p w14:paraId="2244DD0F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Number of slices above the upper pole of highest kidney, relative to total scan length (expressed as percentage)</w:t>
      </w:r>
    </w:p>
    <w:p w14:paraId="46E14DD5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C73C5DC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example data collection table is included in the “Resources” linked to this template.</w:t>
      </w:r>
    </w:p>
    <w:p w14:paraId="107A6ED4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Each scan identified in the sample will require the below data to be collected from it:</w:t>
      </w:r>
    </w:p>
    <w:p w14:paraId="43FA6FB1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a) A unique identifier (Trust number, RIS number)</w:t>
      </w:r>
    </w:p>
    <w:p w14:paraId="799BA75F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b) Date of scan</w:t>
      </w:r>
    </w:p>
    <w:p w14:paraId="6370F20D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c) Total number of slices</w:t>
      </w:r>
    </w:p>
    <w:p w14:paraId="7F02D760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d) Slices above upper pole of highest kidney (overscan slices)</w:t>
      </w:r>
    </w:p>
    <w:p w14:paraId="2B0D8B57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e) Percentage of total scan that is “overscan”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e/d x 100</w:t>
      </w:r>
    </w:p>
    <w:p w14:paraId="41A7600C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D1C8539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CT KUB scans is recommended to provide adequate data for analysis.</w:t>
      </w:r>
    </w:p>
    <w:p w14:paraId="5A2FC5E1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5C73156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Present findings at departmental meeting</w:t>
      </w:r>
    </w:p>
    <w:p w14:paraId="75BC9FF5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Consider providing information and re-education to CT radiographers in form of visible poster in CT area, highlighting importance of limiting scan area</w:t>
      </w:r>
    </w:p>
    <w:p w14:paraId="6051739C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Consider targeted re-education of specific staff members if there is a proportionately higher number of “over-scans” from individuals</w:t>
      </w:r>
    </w:p>
    <w:p w14:paraId="2FCD2062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B601AFA" w14:textId="77777777" w:rsidR="002B7A3F" w:rsidRDefault="002B7A3F" w:rsidP="002B7A3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Table for data collection attached.</w:t>
      </w:r>
    </w:p>
    <w:p w14:paraId="60F7DEAE" w14:textId="77E511DB" w:rsidR="002B7A3F" w:rsidRDefault="002B7A3F" w:rsidP="002B7A3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70F0243C" wp14:editId="0FF2FD1E">
            <wp:extent cx="286385" cy="349885"/>
            <wp:effectExtent l="0" t="0" r="0" b="0"/>
            <wp:docPr id="761068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  <w:u w:val="none"/>
          </w:rPr>
          <w:t>data_collection_sample_table.docx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DOC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12.76 KB</w:t>
      </w:r>
    </w:p>
    <w:p w14:paraId="2026AEC7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070BBB8C" w14:textId="77777777" w:rsidR="002B7A3F" w:rsidRDefault="002B7A3F" w:rsidP="002B7A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British Association of Urological Surgeons (BAUS); Guidelines for acute management of first presentation of renal and ureteric lithiasis, 2012.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http://www.baus.org.uk/_userfiles/pages/files/Publications/RevisedAcuteStoneMgtGuidelines.pdf (last</w:t>
        </w:r>
      </w:hyperlink>
      <w:r>
        <w:rPr>
          <w:rFonts w:ascii="Arial" w:hAnsi="Arial" w:cs="Arial"/>
          <w:color w:val="343434"/>
          <w:sz w:val="23"/>
          <w:szCs w:val="23"/>
        </w:rPr>
        <w:t> accessed 31/08/2015)</w:t>
      </w:r>
    </w:p>
    <w:p w14:paraId="6826A6A0" w14:textId="77777777" w:rsidR="002B7A3F" w:rsidRDefault="002B7A3F" w:rsidP="002B7A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IAEA Radiation Protection of Patients, Information for Health Professionals;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rpop.iaea.org/RPOP/RPoP/Content/InformationFor/HealthProfessionals/6_OtherClinicalSpecialities/Urology/</w:t>
        </w:r>
      </w:hyperlink>
      <w:r>
        <w:rPr>
          <w:rFonts w:ascii="Arial" w:hAnsi="Arial" w:cs="Arial"/>
          <w:color w:val="343434"/>
          <w:sz w:val="23"/>
          <w:szCs w:val="23"/>
        </w:rPr>
        <w:t> (last accessed 31/08/2015)</w:t>
      </w:r>
    </w:p>
    <w:p w14:paraId="2DD32DE1" w14:textId="77777777" w:rsidR="002B7A3F" w:rsidRDefault="002B7A3F" w:rsidP="002B7A3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Public health England: Doses from Computed Tomography Examinations in the UK – 2011 Review; </w:t>
      </w:r>
      <w:hyperlink r:id="rId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https://www.gov.uk/government/uploads/system/uploads/attachment_data/file/349188/PHE_CRCE_013.pdf</w:t>
        </w:r>
      </w:hyperlink>
      <w:r>
        <w:rPr>
          <w:rFonts w:ascii="Arial" w:hAnsi="Arial" w:cs="Arial"/>
          <w:color w:val="343434"/>
          <w:sz w:val="23"/>
          <w:szCs w:val="23"/>
        </w:rPr>
        <w:t> (last accessed 31/08/2015)</w:t>
      </w:r>
    </w:p>
    <w:p w14:paraId="1993DDD8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8B2576C" w14:textId="77777777" w:rsidR="002B7A3F" w:rsidRDefault="002B7A3F" w:rsidP="002B7A3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Dr Mark Twemlow</w:t>
      </w:r>
    </w:p>
    <w:p w14:paraId="4CD0ADAA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7CA32E04" w14:textId="77777777" w:rsidR="002B7A3F" w:rsidRDefault="002B7A3F" w:rsidP="002B7A3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Ishaana Munjal</w:t>
      </w:r>
    </w:p>
    <w:p w14:paraId="1B2958CD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C406201" w14:textId="77777777" w:rsidR="002B7A3F" w:rsidRDefault="002B7A3F" w:rsidP="002B7A3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28 August 2015</w:t>
      </w:r>
    </w:p>
    <w:p w14:paraId="6CFC764F" w14:textId="77777777" w:rsidR="002B7A3F" w:rsidRDefault="002B7A3F" w:rsidP="002B7A3F">
      <w:pPr>
        <w:rPr>
          <w:rFonts w:ascii="Times New Roman" w:hAnsi="Times New Roman" w:cs="Times New Roman"/>
          <w:sz w:val="24"/>
          <w:szCs w:val="24"/>
        </w:rPr>
      </w:pPr>
    </w:p>
    <w:p w14:paraId="2C53AC83" w14:textId="77777777" w:rsidR="002B7A3F" w:rsidRDefault="002B7A3F" w:rsidP="002B7A3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10DE227" w14:textId="77777777" w:rsidR="002B7A3F" w:rsidRDefault="002B7A3F" w:rsidP="002B7A3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19 April 2018</w:t>
      </w:r>
    </w:p>
    <w:p w14:paraId="19E1E8A4" w14:textId="761724EA" w:rsidR="00532AAF" w:rsidRDefault="00532AAF" w:rsidP="002B7A3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7B5F"/>
    <w:multiLevelType w:val="multilevel"/>
    <w:tmpl w:val="A31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79294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2B7A3F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customStyle="1" w:styleId="file-wrapper">
    <w:name w:val="file-wrapper"/>
    <w:basedOn w:val="DefaultParagraphFont"/>
    <w:rsid w:val="002B7A3F"/>
  </w:style>
  <w:style w:type="character" w:styleId="Hyperlink">
    <w:name w:val="Hyperlink"/>
    <w:basedOn w:val="DefaultParagraphFont"/>
    <w:uiPriority w:val="99"/>
    <w:semiHidden/>
    <w:unhideWhenUsed/>
    <w:rsid w:val="002B7A3F"/>
    <w:rPr>
      <w:color w:val="0000FF"/>
      <w:u w:val="single"/>
    </w:rPr>
  </w:style>
  <w:style w:type="character" w:customStyle="1" w:styleId="file-meta">
    <w:name w:val="file-meta"/>
    <w:basedOn w:val="DefaultParagraphFont"/>
    <w:rsid w:val="002B7A3F"/>
  </w:style>
  <w:style w:type="character" w:customStyle="1" w:styleId="file-type">
    <w:name w:val="file-type"/>
    <w:basedOn w:val="DefaultParagraphFont"/>
    <w:rsid w:val="002B7A3F"/>
  </w:style>
  <w:style w:type="character" w:customStyle="1" w:styleId="file-size">
    <w:name w:val="file-size"/>
    <w:basedOn w:val="DefaultParagraphFont"/>
    <w:rsid w:val="002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408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6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1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7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6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3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p.iaea.org/RPOP/RPoP/Content/InformationFor/HealthProfessionals/6_OtherClinicalSpecialities/Urology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aus.org.uk/_userfiles/pages/files/Publications/RevisedAcuteStoneMgtGuidelines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data_collection_sample_table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49188/PHE_CRCE_013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1DC97794-C1DE-4120-AA49-DD351DEDF2F1}"/>
</file>

<file path=customXml/itemProps2.xml><?xml version="1.0" encoding="utf-8"?>
<ds:datastoreItem xmlns:ds="http://schemas.openxmlformats.org/officeDocument/2006/customXml" ds:itemID="{3990C5D8-F865-4B9F-A412-908D8C694B59}"/>
</file>

<file path=customXml/itemProps3.xml><?xml version="1.0" encoding="utf-8"?>
<ds:datastoreItem xmlns:ds="http://schemas.openxmlformats.org/officeDocument/2006/customXml" ds:itemID="{2F7EC501-95E5-49EC-9F88-7FE5E201A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